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BDB3" w14:textId="77777777" w:rsidR="00D24487" w:rsidRPr="00F076FF" w:rsidRDefault="00D24487" w:rsidP="00D24487">
      <w:pPr>
        <w:ind w:right="197"/>
        <w:jc w:val="center"/>
        <w:rPr>
          <w:b/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SPRENDIMAS</w:t>
      </w:r>
    </w:p>
    <w:p w14:paraId="3B63BDB4" w14:textId="77777777" w:rsidR="005373CB" w:rsidRPr="00F076FF" w:rsidRDefault="00DE17C4" w:rsidP="005373C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 xml:space="preserve">DĖL PRITARIMO </w:t>
      </w:r>
      <w:r w:rsidR="005373CB" w:rsidRPr="00F076FF">
        <w:rPr>
          <w:rFonts w:ascii="Times New Roman" w:hAnsi="Times New Roman"/>
          <w:b/>
          <w:sz w:val="24"/>
          <w:szCs w:val="24"/>
        </w:rPr>
        <w:t>VIEŠOSIOS ĮSTAIGOS JUODUPĖS KOMUNALINIO ŪKIO</w:t>
      </w:r>
    </w:p>
    <w:p w14:paraId="3B63BDB5" w14:textId="77777777" w:rsidR="00A36941" w:rsidRPr="00F076FF" w:rsidRDefault="00A36941" w:rsidP="00A36941">
      <w:pPr>
        <w:jc w:val="center"/>
        <w:rPr>
          <w:b/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201</w:t>
      </w:r>
      <w:r w:rsidR="00DE17C4" w:rsidRPr="00F076FF">
        <w:rPr>
          <w:b/>
          <w:sz w:val="24"/>
          <w:szCs w:val="24"/>
          <w:lang w:val="lt-LT"/>
        </w:rPr>
        <w:t>8</w:t>
      </w:r>
      <w:r w:rsidRPr="00F076FF">
        <w:rPr>
          <w:b/>
          <w:sz w:val="24"/>
          <w:szCs w:val="24"/>
          <w:lang w:val="lt-LT"/>
        </w:rPr>
        <w:t xml:space="preserve"> METŲ DIREKTORIAUS VEIKLOS ATASKAITAI</w:t>
      </w:r>
    </w:p>
    <w:p w14:paraId="3B63BDB6" w14:textId="77777777" w:rsidR="00187088" w:rsidRPr="00F076FF" w:rsidRDefault="00187088" w:rsidP="00187088">
      <w:pPr>
        <w:ind w:right="197"/>
        <w:jc w:val="center"/>
        <w:rPr>
          <w:sz w:val="24"/>
          <w:szCs w:val="24"/>
          <w:lang w:val="lt-LT"/>
        </w:rPr>
      </w:pPr>
    </w:p>
    <w:p w14:paraId="3B63BDB7" w14:textId="77777777" w:rsidR="00187088" w:rsidRPr="00F076FF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201</w:t>
      </w:r>
      <w:r w:rsidR="00DE17C4" w:rsidRPr="00F076FF">
        <w:rPr>
          <w:sz w:val="24"/>
          <w:szCs w:val="24"/>
          <w:lang w:val="lt-LT"/>
        </w:rPr>
        <w:t>9</w:t>
      </w:r>
      <w:r w:rsidRPr="00F076FF">
        <w:rPr>
          <w:sz w:val="24"/>
          <w:szCs w:val="24"/>
          <w:lang w:val="lt-LT"/>
        </w:rPr>
        <w:t xml:space="preserve"> m. </w:t>
      </w:r>
      <w:r w:rsidR="00A36941" w:rsidRPr="00F076FF">
        <w:rPr>
          <w:sz w:val="24"/>
          <w:szCs w:val="24"/>
          <w:lang w:val="lt-LT"/>
        </w:rPr>
        <w:t>balandžio 2</w:t>
      </w:r>
      <w:r w:rsidR="00DE17C4" w:rsidRPr="00F076FF">
        <w:rPr>
          <w:sz w:val="24"/>
          <w:szCs w:val="24"/>
          <w:lang w:val="lt-LT"/>
        </w:rPr>
        <w:t>6</w:t>
      </w:r>
      <w:r w:rsidRPr="00F076FF">
        <w:rPr>
          <w:sz w:val="24"/>
          <w:szCs w:val="24"/>
          <w:lang w:val="lt-LT"/>
        </w:rPr>
        <w:t xml:space="preserve"> d. Nr. TS-</w:t>
      </w:r>
    </w:p>
    <w:p w14:paraId="3B63BDB8" w14:textId="77777777" w:rsidR="00187088" w:rsidRPr="00F076FF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Rokiškis</w:t>
      </w:r>
    </w:p>
    <w:p w14:paraId="3B63BDB9" w14:textId="77777777" w:rsidR="00187088" w:rsidRDefault="00187088" w:rsidP="0018708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4CA8910E" w14:textId="77777777" w:rsidR="004C6335" w:rsidRPr="004C6335" w:rsidRDefault="004C6335" w:rsidP="004C6335">
      <w:pPr>
        <w:rPr>
          <w:lang w:val="lt-LT" w:eastAsia="x-none"/>
        </w:rPr>
      </w:pPr>
    </w:p>
    <w:p w14:paraId="3B63BDBA" w14:textId="0E094C3E" w:rsidR="00A36941" w:rsidRPr="00F076FF" w:rsidRDefault="00A36941" w:rsidP="00A36941">
      <w:pPr>
        <w:pStyle w:val="Default"/>
        <w:ind w:firstLine="851"/>
        <w:jc w:val="both"/>
      </w:pPr>
      <w:r w:rsidRPr="00F076FF">
        <w:t>Vadovaudamasi Lietuvos Respublikos vietos savivaldos įstatymo 16 straipsnio 2 dalies 19 punktu ir Rokiš</w:t>
      </w:r>
      <w:r w:rsidR="00DE17C4" w:rsidRPr="00F076FF">
        <w:t>kio rajono savivaldybės tarybos</w:t>
      </w:r>
      <w:r w:rsidRPr="00F076FF">
        <w:t xml:space="preserve"> </w:t>
      </w:r>
      <w:r w:rsidR="00C62E82" w:rsidRPr="00F076FF">
        <w:rPr>
          <w:lang w:eastAsia="ar-SA"/>
        </w:rPr>
        <w:t>2019 m. kovo 29 d. sprendimu Nr. TS-43</w:t>
      </w:r>
      <w:r w:rsidRPr="00F076FF">
        <w:t>,,Dėl Rokiškio rajono savivaldybės tarybos veiklos reglamento patvirtinimo</w:t>
      </w:r>
      <w:r w:rsidR="00541C20" w:rsidRPr="00F076FF">
        <w:t>“</w:t>
      </w:r>
      <w:r w:rsidRPr="00F076FF">
        <w:t xml:space="preserve"> patvirtinto Rokiškio rajono savivaldybės tarybos veiklos reglamento </w:t>
      </w:r>
      <w:r w:rsidR="005373CB" w:rsidRPr="00F076FF">
        <w:t>2</w:t>
      </w:r>
      <w:r w:rsidR="00CC238F" w:rsidRPr="00F076FF">
        <w:t>73</w:t>
      </w:r>
      <w:r w:rsidR="005373CB" w:rsidRPr="00F076FF">
        <w:t xml:space="preserve">, </w:t>
      </w:r>
      <w:r w:rsidR="0019651B" w:rsidRPr="00F076FF">
        <w:t>2</w:t>
      </w:r>
      <w:r w:rsidR="00CC238F" w:rsidRPr="00F076FF">
        <w:t>76</w:t>
      </w:r>
      <w:r w:rsidR="0019651B" w:rsidRPr="00F076FF">
        <w:t>, 27</w:t>
      </w:r>
      <w:r w:rsidR="00CC238F" w:rsidRPr="00F076FF">
        <w:t>7</w:t>
      </w:r>
      <w:r w:rsidR="0019651B" w:rsidRPr="00F076FF">
        <w:t xml:space="preserve"> punktais,</w:t>
      </w:r>
      <w:r w:rsidRPr="00F076FF">
        <w:t xml:space="preserve"> Rokiškio rajono savivaldybės</w:t>
      </w:r>
      <w:r w:rsidR="00DE17C4" w:rsidRPr="00F076FF">
        <w:t xml:space="preserve"> taryba n u s p r e n d ž i a</w:t>
      </w:r>
      <w:r w:rsidR="0019651B" w:rsidRPr="00F076FF">
        <w:t>:</w:t>
      </w:r>
    </w:p>
    <w:p w14:paraId="3B63BDBB" w14:textId="1615E54E" w:rsidR="00280C26" w:rsidRPr="00F076FF" w:rsidRDefault="00541C20" w:rsidP="00541C20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ab/>
        <w:t xml:space="preserve">1. </w:t>
      </w:r>
      <w:r w:rsidR="0019651B" w:rsidRPr="00F076FF">
        <w:rPr>
          <w:sz w:val="24"/>
          <w:szCs w:val="24"/>
          <w:lang w:val="lt-LT"/>
        </w:rPr>
        <w:t>P</w:t>
      </w:r>
      <w:r w:rsidR="00A36941" w:rsidRPr="00F076FF">
        <w:rPr>
          <w:sz w:val="24"/>
          <w:szCs w:val="24"/>
          <w:lang w:val="lt-LT"/>
        </w:rPr>
        <w:t xml:space="preserve">ritarti </w:t>
      </w:r>
      <w:r w:rsidR="005373CB" w:rsidRPr="00F076FF">
        <w:rPr>
          <w:sz w:val="24"/>
          <w:szCs w:val="24"/>
          <w:lang w:val="lt-LT"/>
        </w:rPr>
        <w:t>viešosios įstaigos Juodupės komunalinio ūkio</w:t>
      </w:r>
      <w:r w:rsidR="00A36941" w:rsidRPr="00F076FF">
        <w:rPr>
          <w:sz w:val="24"/>
          <w:szCs w:val="24"/>
          <w:lang w:val="lt-LT"/>
        </w:rPr>
        <w:t xml:space="preserve"> 201</w:t>
      </w:r>
      <w:r w:rsidR="00DE17C4" w:rsidRPr="00F076FF">
        <w:rPr>
          <w:sz w:val="24"/>
          <w:szCs w:val="24"/>
          <w:lang w:val="lt-LT"/>
        </w:rPr>
        <w:t xml:space="preserve">8 metų direktoriaus </w:t>
      </w:r>
      <w:r w:rsidR="00A36941" w:rsidRPr="00F076FF">
        <w:rPr>
          <w:sz w:val="24"/>
          <w:szCs w:val="24"/>
          <w:lang w:val="lt-LT"/>
        </w:rPr>
        <w:t>veiklos ataskaitai (ataskaita pridedama).</w:t>
      </w:r>
    </w:p>
    <w:p w14:paraId="71E6F419" w14:textId="77777777" w:rsidR="00541C20" w:rsidRPr="00F076FF" w:rsidRDefault="00541C20" w:rsidP="00541C20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ab/>
        <w:t xml:space="preserve">2. </w:t>
      </w:r>
      <w:r w:rsidR="0019651B" w:rsidRPr="00F076FF">
        <w:rPr>
          <w:sz w:val="24"/>
          <w:szCs w:val="24"/>
          <w:lang w:val="lt-LT"/>
        </w:rPr>
        <w:t xml:space="preserve">Ataskaitą skelbti savivaldybės interneto svetainėje </w:t>
      </w:r>
      <w:hyperlink r:id="rId9" w:history="1">
        <w:r w:rsidR="0019651B" w:rsidRPr="00F076FF">
          <w:rPr>
            <w:rStyle w:val="Hipersaitas"/>
            <w:sz w:val="24"/>
            <w:szCs w:val="24"/>
            <w:lang w:val="lt-LT"/>
          </w:rPr>
          <w:t>www.rokiskis.lt</w:t>
        </w:r>
      </w:hyperlink>
      <w:r w:rsidR="0019651B" w:rsidRPr="00F076FF">
        <w:rPr>
          <w:sz w:val="24"/>
          <w:szCs w:val="24"/>
          <w:lang w:val="lt-LT"/>
        </w:rPr>
        <w:t>.</w:t>
      </w:r>
    </w:p>
    <w:p w14:paraId="3B63BDBD" w14:textId="661DFA93" w:rsidR="00280C26" w:rsidRPr="00F076FF" w:rsidRDefault="00541C20" w:rsidP="00541C20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ab/>
      </w:r>
      <w:r w:rsidR="00280C26" w:rsidRPr="00F076FF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B63BDBE" w14:textId="77777777" w:rsidR="00A83D1A" w:rsidRPr="00F076FF" w:rsidRDefault="00A83D1A" w:rsidP="00A83D1A">
      <w:pPr>
        <w:ind w:right="197"/>
        <w:rPr>
          <w:sz w:val="24"/>
          <w:szCs w:val="24"/>
          <w:lang w:val="lt-LT"/>
        </w:rPr>
      </w:pPr>
    </w:p>
    <w:p w14:paraId="3B63BDBF" w14:textId="77777777" w:rsidR="00187088" w:rsidRPr="00F076FF" w:rsidRDefault="00187088" w:rsidP="00D24487">
      <w:pPr>
        <w:ind w:firstLine="720"/>
        <w:jc w:val="both"/>
        <w:rPr>
          <w:sz w:val="24"/>
          <w:szCs w:val="24"/>
          <w:lang w:val="lt-LT"/>
        </w:rPr>
      </w:pPr>
    </w:p>
    <w:p w14:paraId="3B63BDC0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1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2" w14:textId="0263C078" w:rsidR="00187088" w:rsidRPr="00F076FF" w:rsidRDefault="00DE17C4" w:rsidP="00187088">
      <w:pPr>
        <w:ind w:right="197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Savivaldybės meras</w:t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  <w:t>Ramūnas Godeliauskas</w:t>
      </w:r>
    </w:p>
    <w:p w14:paraId="3B63BDC3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4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5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6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7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8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9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A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B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C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D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E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CF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D0" w14:textId="77777777" w:rsidR="00187088" w:rsidRPr="00F076FF" w:rsidRDefault="00187088" w:rsidP="00187088">
      <w:pPr>
        <w:ind w:right="197"/>
        <w:rPr>
          <w:sz w:val="24"/>
          <w:szCs w:val="24"/>
          <w:lang w:val="lt-LT"/>
        </w:rPr>
      </w:pPr>
    </w:p>
    <w:p w14:paraId="3B63BDD1" w14:textId="77777777" w:rsidR="00D52072" w:rsidRPr="00F076FF" w:rsidRDefault="00D52072" w:rsidP="00187088">
      <w:pPr>
        <w:ind w:right="197"/>
        <w:rPr>
          <w:sz w:val="24"/>
          <w:szCs w:val="24"/>
          <w:lang w:val="lt-LT"/>
        </w:rPr>
      </w:pPr>
    </w:p>
    <w:p w14:paraId="3B63BDD2" w14:textId="77777777" w:rsidR="00A36941" w:rsidRPr="00F076FF" w:rsidRDefault="00A36941" w:rsidP="00187088">
      <w:pPr>
        <w:ind w:right="197"/>
        <w:rPr>
          <w:sz w:val="24"/>
          <w:szCs w:val="24"/>
          <w:lang w:val="lt-LT"/>
        </w:rPr>
      </w:pPr>
    </w:p>
    <w:p w14:paraId="3B63BDD3" w14:textId="77777777" w:rsidR="00A36941" w:rsidRPr="00F076FF" w:rsidRDefault="00A36941" w:rsidP="00187088">
      <w:pPr>
        <w:ind w:right="197"/>
        <w:rPr>
          <w:sz w:val="24"/>
          <w:szCs w:val="24"/>
          <w:lang w:val="lt-LT"/>
        </w:rPr>
      </w:pPr>
    </w:p>
    <w:p w14:paraId="3B63BDD4" w14:textId="77777777" w:rsidR="00A36941" w:rsidRPr="00F076FF" w:rsidRDefault="00A36941" w:rsidP="00187088">
      <w:pPr>
        <w:ind w:right="197"/>
        <w:rPr>
          <w:sz w:val="24"/>
          <w:szCs w:val="24"/>
          <w:lang w:val="lt-LT"/>
        </w:rPr>
      </w:pPr>
    </w:p>
    <w:p w14:paraId="3B63BDD5" w14:textId="77777777" w:rsidR="00A36941" w:rsidRPr="00F076FF" w:rsidRDefault="00A36941" w:rsidP="00187088">
      <w:pPr>
        <w:ind w:right="197"/>
        <w:rPr>
          <w:sz w:val="24"/>
          <w:szCs w:val="24"/>
          <w:lang w:val="lt-LT"/>
        </w:rPr>
      </w:pPr>
    </w:p>
    <w:p w14:paraId="3B63BDD6" w14:textId="77777777" w:rsidR="00A36941" w:rsidRDefault="00A36941" w:rsidP="00187088">
      <w:pPr>
        <w:ind w:right="197"/>
        <w:rPr>
          <w:sz w:val="24"/>
          <w:szCs w:val="24"/>
          <w:lang w:val="lt-LT"/>
        </w:rPr>
      </w:pPr>
    </w:p>
    <w:p w14:paraId="79D1961B" w14:textId="77777777" w:rsidR="004C6335" w:rsidRDefault="004C6335" w:rsidP="00187088">
      <w:pPr>
        <w:ind w:right="197"/>
        <w:rPr>
          <w:sz w:val="24"/>
          <w:szCs w:val="24"/>
          <w:lang w:val="lt-LT"/>
        </w:rPr>
      </w:pPr>
    </w:p>
    <w:p w14:paraId="787889B5" w14:textId="77777777" w:rsidR="004C6335" w:rsidRPr="00F076FF" w:rsidRDefault="004C6335" w:rsidP="00187088">
      <w:pPr>
        <w:ind w:right="197"/>
        <w:rPr>
          <w:sz w:val="24"/>
          <w:szCs w:val="24"/>
          <w:lang w:val="lt-LT"/>
        </w:rPr>
      </w:pPr>
    </w:p>
    <w:p w14:paraId="65295709" w14:textId="77777777" w:rsidR="0045675C" w:rsidRPr="00F076FF" w:rsidRDefault="0045675C" w:rsidP="00187088">
      <w:pPr>
        <w:ind w:right="197"/>
        <w:rPr>
          <w:sz w:val="24"/>
          <w:szCs w:val="24"/>
          <w:lang w:val="lt-LT"/>
        </w:rPr>
      </w:pPr>
    </w:p>
    <w:p w14:paraId="3B63BDD7" w14:textId="77777777" w:rsidR="00187088" w:rsidRPr="00F076FF" w:rsidRDefault="00F42D5C" w:rsidP="00187088">
      <w:pPr>
        <w:ind w:right="197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Rimantas Kirstukas</w:t>
      </w:r>
    </w:p>
    <w:p w14:paraId="3B63BDDA" w14:textId="77777777" w:rsidR="00A36941" w:rsidRPr="00F076FF" w:rsidRDefault="00A36941" w:rsidP="004C6335">
      <w:pPr>
        <w:ind w:left="4963" w:firstLine="140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lastRenderedPageBreak/>
        <w:t xml:space="preserve">PRITARTA </w:t>
      </w:r>
    </w:p>
    <w:p w14:paraId="3B63BDDB" w14:textId="77777777" w:rsidR="00A36941" w:rsidRPr="00F076FF" w:rsidRDefault="00A36941" w:rsidP="004C6335">
      <w:pPr>
        <w:ind w:left="4963" w:firstLine="140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Rokiškio rajono savivaldybės tarybos</w:t>
      </w:r>
    </w:p>
    <w:p w14:paraId="3B63BDDD" w14:textId="4347E75B" w:rsidR="00A36941" w:rsidRPr="00F076FF" w:rsidRDefault="00A36941" w:rsidP="004C6335">
      <w:pPr>
        <w:ind w:left="4963" w:firstLine="140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201</w:t>
      </w:r>
      <w:r w:rsidR="00DE17C4" w:rsidRPr="00F076FF">
        <w:rPr>
          <w:sz w:val="24"/>
          <w:szCs w:val="24"/>
          <w:lang w:val="lt-LT"/>
        </w:rPr>
        <w:t>9</w:t>
      </w:r>
      <w:r w:rsidRPr="00F076FF">
        <w:rPr>
          <w:sz w:val="24"/>
          <w:szCs w:val="24"/>
          <w:lang w:val="lt-LT"/>
        </w:rPr>
        <w:t xml:space="preserve"> m. balandžio 2</w:t>
      </w:r>
      <w:r w:rsidR="00DE17C4" w:rsidRPr="00F076FF">
        <w:rPr>
          <w:sz w:val="24"/>
          <w:szCs w:val="24"/>
          <w:lang w:val="lt-LT"/>
        </w:rPr>
        <w:t>6</w:t>
      </w:r>
      <w:r w:rsidRPr="00F076FF">
        <w:rPr>
          <w:sz w:val="24"/>
          <w:szCs w:val="24"/>
          <w:lang w:val="lt-LT"/>
        </w:rPr>
        <w:t xml:space="preserve"> d. sprendimu Nr. TS-</w:t>
      </w:r>
    </w:p>
    <w:p w14:paraId="3B63BDDE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B63BDE0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VIEŠOSIOS ĮSTAIGOS JUODUPĖS KOMUNALINIO ŪKIO</w:t>
      </w:r>
    </w:p>
    <w:p w14:paraId="3B63BDE1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2018 METŲ DIREKTORIAUS VEIKLOS ATASKAITA</w:t>
      </w:r>
    </w:p>
    <w:p w14:paraId="3B63BDE2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B63BDE3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I. BENDRI DUOMENYS</w:t>
      </w:r>
    </w:p>
    <w:p w14:paraId="3B63BDE4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b/>
          <w:sz w:val="24"/>
          <w:szCs w:val="24"/>
        </w:rPr>
      </w:pPr>
    </w:p>
    <w:p w14:paraId="3B63BDE5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Viešoji įstaiga Juodupės komunalinis ūkis:</w:t>
      </w:r>
    </w:p>
    <w:p w14:paraId="3B63BDE6" w14:textId="18A1452C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registracijos data: 2002 m</w:t>
      </w:r>
      <w:r w:rsidR="0045675C" w:rsidRPr="00F076FF">
        <w:rPr>
          <w:rFonts w:ascii="Times New Roman" w:hAnsi="Times New Roman"/>
          <w:sz w:val="24"/>
          <w:szCs w:val="24"/>
        </w:rPr>
        <w:t xml:space="preserve">. </w:t>
      </w:r>
      <w:r w:rsidRPr="00F076FF">
        <w:rPr>
          <w:rFonts w:ascii="Times New Roman" w:hAnsi="Times New Roman"/>
          <w:sz w:val="24"/>
          <w:szCs w:val="24"/>
        </w:rPr>
        <w:t>spalio 24 d.;</w:t>
      </w:r>
    </w:p>
    <w:p w14:paraId="3B63BDE7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registracijos Nr. VŠ2002–1;</w:t>
      </w:r>
    </w:p>
    <w:p w14:paraId="3B63BDE8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adresas: Pergalės g. 8A, Juodupės mstl., Rokiškio raj., LT–42466;</w:t>
      </w:r>
    </w:p>
    <w:p w14:paraId="3B63BDE9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įmonės kodas 173739274.</w:t>
      </w:r>
    </w:p>
    <w:p w14:paraId="3B63BDEA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Dalininko įnašai:</w:t>
      </w:r>
    </w:p>
    <w:p w14:paraId="3B63BDEB" w14:textId="7DE771BC" w:rsidR="00CC238F" w:rsidRPr="00F076FF" w:rsidRDefault="00CC238F" w:rsidP="004C6335">
      <w:pPr>
        <w:pStyle w:val="Betarp"/>
        <w:tabs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ataskaitinio laikotarpio pradžioje – 924 316 Eur;</w:t>
      </w:r>
    </w:p>
    <w:p w14:paraId="3B63BDEC" w14:textId="1FE6BC9F" w:rsidR="00CC238F" w:rsidRPr="00F076FF" w:rsidRDefault="00CC238F" w:rsidP="004C6335">
      <w:pPr>
        <w:pStyle w:val="Betarp"/>
        <w:tabs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ataskaitinio laikotarpio pabaigoje – 924 316 Eur</w:t>
      </w:r>
      <w:r w:rsidR="0045675C" w:rsidRPr="00F076FF">
        <w:rPr>
          <w:rFonts w:ascii="Times New Roman" w:hAnsi="Times New Roman"/>
          <w:sz w:val="24"/>
          <w:szCs w:val="24"/>
        </w:rPr>
        <w:t>.</w:t>
      </w:r>
    </w:p>
    <w:p w14:paraId="3B63BDED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Įstaigos dalininkai:  Rokiškio rajono savivaldybė, dalininko dalis – 100 proc.</w:t>
      </w:r>
    </w:p>
    <w:p w14:paraId="3B63BDEE" w14:textId="77777777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Valdymo organai: </w:t>
      </w:r>
    </w:p>
    <w:p w14:paraId="3B63BDEF" w14:textId="4CFD24CB" w:rsidR="00CC238F" w:rsidRPr="00F076FF" w:rsidRDefault="0045675C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v</w:t>
      </w:r>
      <w:r w:rsidR="00CC238F" w:rsidRPr="00F076FF">
        <w:rPr>
          <w:rFonts w:ascii="Times New Roman" w:hAnsi="Times New Roman"/>
          <w:sz w:val="24"/>
          <w:szCs w:val="24"/>
        </w:rPr>
        <w:t>isuotinis dalininkų susirinkimas</w:t>
      </w:r>
      <w:r w:rsidRPr="00F076FF">
        <w:rPr>
          <w:rFonts w:ascii="Times New Roman" w:hAnsi="Times New Roman"/>
          <w:sz w:val="24"/>
          <w:szCs w:val="24"/>
        </w:rPr>
        <w:t>; s</w:t>
      </w:r>
      <w:r w:rsidR="00CC238F" w:rsidRPr="00F076FF">
        <w:rPr>
          <w:rFonts w:ascii="Times New Roman" w:hAnsi="Times New Roman"/>
          <w:sz w:val="24"/>
          <w:szCs w:val="24"/>
        </w:rPr>
        <w:t>avininko raštiški sprendimai prilyginami visuotinio  dalininkų susirinkimo sprendimams</w:t>
      </w:r>
      <w:r w:rsidRPr="00F076FF">
        <w:rPr>
          <w:rFonts w:ascii="Times New Roman" w:hAnsi="Times New Roman"/>
          <w:sz w:val="24"/>
          <w:szCs w:val="24"/>
        </w:rPr>
        <w:t>;</w:t>
      </w:r>
    </w:p>
    <w:p w14:paraId="3B63BDF0" w14:textId="0B19D816" w:rsidR="00CC238F" w:rsidRPr="00F076FF" w:rsidRDefault="0045675C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į</w:t>
      </w:r>
      <w:r w:rsidR="00CC238F" w:rsidRPr="00F076FF">
        <w:rPr>
          <w:rFonts w:ascii="Times New Roman" w:hAnsi="Times New Roman"/>
          <w:sz w:val="24"/>
          <w:szCs w:val="24"/>
        </w:rPr>
        <w:t>staigos direktorius – vienasmenis valdymo organas</w:t>
      </w:r>
      <w:r w:rsidRPr="00F076FF">
        <w:rPr>
          <w:rFonts w:ascii="Times New Roman" w:hAnsi="Times New Roman"/>
          <w:sz w:val="24"/>
          <w:szCs w:val="24"/>
        </w:rPr>
        <w:t>;</w:t>
      </w:r>
    </w:p>
    <w:p w14:paraId="3B63BDF1" w14:textId="41006364" w:rsidR="00CC238F" w:rsidRPr="00F076FF" w:rsidRDefault="0045675C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į</w:t>
      </w:r>
      <w:r w:rsidR="00CC238F" w:rsidRPr="00F076FF">
        <w:rPr>
          <w:rFonts w:ascii="Times New Roman" w:hAnsi="Times New Roman"/>
          <w:sz w:val="24"/>
          <w:szCs w:val="24"/>
        </w:rPr>
        <w:t>staigos stebėtojų taryba – patariamasis organas.</w:t>
      </w:r>
    </w:p>
    <w:p w14:paraId="3B63BDF2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ab/>
      </w:r>
    </w:p>
    <w:p w14:paraId="3B63BDF3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II. DARBUOTOJAI IR DARBO APMOKĖJIMAS</w:t>
      </w:r>
    </w:p>
    <w:p w14:paraId="3B63BDF4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B63BDF5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Duomenys apie darbuotojų sudėtį ir vidutinį mėnesio darbo užmokestį (bruto) pateikti 1 lentelėje.</w:t>
      </w:r>
    </w:p>
    <w:p w14:paraId="3B63BDF6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DF7" w14:textId="77777777" w:rsidR="00CC238F" w:rsidRPr="00F076FF" w:rsidRDefault="00CC238F" w:rsidP="00CC238F">
      <w:pPr>
        <w:pStyle w:val="Betarp"/>
        <w:jc w:val="right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 1 lentelė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2693"/>
        <w:gridCol w:w="2800"/>
      </w:tblGrid>
      <w:tr w:rsidR="00CC238F" w:rsidRPr="00F076FF" w14:paraId="3B63BDFB" w14:textId="77777777" w:rsidTr="00CC238F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DF8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DF9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 xml:space="preserve">Darbuotojų skaičius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DFA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Vidutinis  mėnesio darbo užmokestis, Eur</w:t>
            </w:r>
          </w:p>
        </w:tc>
      </w:tr>
      <w:tr w:rsidR="00CC238F" w:rsidRPr="00F076FF" w14:paraId="3B63BDFF" w14:textId="77777777" w:rsidTr="00CC238F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DFC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DFD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DFE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</w:tr>
      <w:tr w:rsidR="00CC238F" w:rsidRPr="00F076FF" w14:paraId="3B63BE03" w14:textId="77777777" w:rsidTr="00CC238F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0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Administracija, specialistai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1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2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</w:tr>
      <w:tr w:rsidR="00CC238F" w:rsidRPr="00F076FF" w14:paraId="3B63BE07" w14:textId="77777777" w:rsidTr="00CC238F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4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Katilinės operatoriai, remonto darbininkai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5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6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CC238F" w:rsidRPr="00F076FF" w14:paraId="3B63BE0B" w14:textId="77777777" w:rsidTr="00CC238F">
        <w:trPr>
          <w:trHeight w:val="6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8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9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0A" w14:textId="77777777" w:rsidR="00CC238F" w:rsidRPr="00F076FF" w:rsidRDefault="00CC238F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</w:tbl>
    <w:p w14:paraId="3B63BE0C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 </w:t>
      </w:r>
    </w:p>
    <w:p w14:paraId="3B63BE0D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2018 metais priimtas 1 darbuotojas, atleistas 1 darbuotojas. Ataskaitiniu laikotarpiu darbuotojų skaičius buvo stabilus – 22 darbuotojai. </w:t>
      </w:r>
    </w:p>
    <w:p w14:paraId="3B63BE0E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E0F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III. TURTAS</w:t>
      </w:r>
    </w:p>
    <w:p w14:paraId="3B63BE10" w14:textId="77777777" w:rsidR="00CC238F" w:rsidRPr="00F076FF" w:rsidRDefault="00CC238F" w:rsidP="004C6335">
      <w:pPr>
        <w:pStyle w:val="Betarp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B63BE11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Ilgalaikis turtas, tūkst. Eur:</w:t>
      </w:r>
    </w:p>
    <w:p w14:paraId="3B63BE12" w14:textId="77777777" w:rsidR="00CC238F" w:rsidRPr="00F076FF" w:rsidRDefault="00CC238F" w:rsidP="004C6335">
      <w:pPr>
        <w:ind w:firstLine="567"/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 xml:space="preserve">pastatai ir statiniai – 1139; </w:t>
      </w:r>
    </w:p>
    <w:p w14:paraId="3B63BE13" w14:textId="77777777" w:rsidR="00CC238F" w:rsidRPr="00F076FF" w:rsidRDefault="00CC238F" w:rsidP="004C6335">
      <w:pPr>
        <w:ind w:firstLine="567"/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 xml:space="preserve">transporto priemonės – 1,5; </w:t>
      </w:r>
    </w:p>
    <w:p w14:paraId="3B63BE14" w14:textId="77777777" w:rsidR="00CC238F" w:rsidRPr="00F076FF" w:rsidRDefault="00CC238F" w:rsidP="004C6335">
      <w:pPr>
        <w:ind w:firstLine="567"/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kita įranga, prietaisai, įrankiai, įrenginiai – 334;</w:t>
      </w:r>
    </w:p>
    <w:p w14:paraId="3B63BE15" w14:textId="0DF0DA32" w:rsidR="00CC238F" w:rsidRPr="00F076FF" w:rsidRDefault="00CC238F" w:rsidP="004C6335">
      <w:pPr>
        <w:ind w:firstLine="567"/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kitas materialus turtas – 0,5</w:t>
      </w:r>
      <w:r w:rsidR="00352BBA" w:rsidRPr="00F076FF">
        <w:rPr>
          <w:sz w:val="24"/>
          <w:szCs w:val="24"/>
          <w:lang w:val="lt-LT"/>
        </w:rPr>
        <w:t>.</w:t>
      </w:r>
    </w:p>
    <w:p w14:paraId="3B63BE16" w14:textId="766E8475" w:rsidR="00CC238F" w:rsidRPr="00F076FF" w:rsidRDefault="00CC238F" w:rsidP="004C6335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Vis</w:t>
      </w:r>
      <w:r w:rsidR="00352BBA" w:rsidRPr="00F076FF">
        <w:rPr>
          <w:b/>
          <w:sz w:val="24"/>
          <w:szCs w:val="24"/>
          <w:lang w:val="lt-LT"/>
        </w:rPr>
        <w:t>as</w:t>
      </w:r>
      <w:r w:rsidRPr="00F076FF">
        <w:rPr>
          <w:b/>
          <w:sz w:val="24"/>
          <w:szCs w:val="24"/>
          <w:lang w:val="lt-LT"/>
        </w:rPr>
        <w:t xml:space="preserve"> ilgalaikis turtas:</w:t>
      </w:r>
      <w:r w:rsidRPr="00F076FF">
        <w:rPr>
          <w:sz w:val="24"/>
          <w:szCs w:val="24"/>
          <w:lang w:val="lt-LT"/>
        </w:rPr>
        <w:t xml:space="preserve"> </w:t>
      </w:r>
      <w:r w:rsidRPr="00F076FF">
        <w:rPr>
          <w:b/>
          <w:bCs/>
          <w:sz w:val="24"/>
          <w:szCs w:val="24"/>
          <w:lang w:val="lt-LT"/>
        </w:rPr>
        <w:t xml:space="preserve">1475. </w:t>
      </w:r>
    </w:p>
    <w:p w14:paraId="3B63BE17" w14:textId="77777777" w:rsidR="00CC238F" w:rsidRPr="00F076FF" w:rsidRDefault="00CC238F" w:rsidP="004C6335">
      <w:pPr>
        <w:ind w:firstLine="567"/>
        <w:jc w:val="both"/>
        <w:rPr>
          <w:sz w:val="24"/>
          <w:szCs w:val="24"/>
          <w:lang w:val="lt-LT"/>
        </w:rPr>
      </w:pPr>
    </w:p>
    <w:p w14:paraId="3B63BE18" w14:textId="77777777" w:rsidR="00CC238F" w:rsidRPr="00F076FF" w:rsidRDefault="00CC238F" w:rsidP="004C6335">
      <w:pPr>
        <w:ind w:firstLine="567"/>
        <w:jc w:val="both"/>
        <w:rPr>
          <w:bCs/>
          <w:sz w:val="24"/>
          <w:szCs w:val="24"/>
          <w:lang w:val="lt-LT"/>
        </w:rPr>
      </w:pPr>
      <w:r w:rsidRPr="00F076FF">
        <w:rPr>
          <w:bCs/>
          <w:sz w:val="24"/>
          <w:szCs w:val="24"/>
          <w:lang w:val="lt-LT"/>
        </w:rPr>
        <w:t xml:space="preserve">Trumpalaikis turtas, tūkst. Eur:   </w:t>
      </w:r>
    </w:p>
    <w:p w14:paraId="3B63BE19" w14:textId="77777777" w:rsidR="00CC238F" w:rsidRPr="00F076FF" w:rsidRDefault="00CC238F" w:rsidP="004C6335">
      <w:pPr>
        <w:ind w:firstLine="567"/>
        <w:jc w:val="both"/>
        <w:rPr>
          <w:bCs/>
          <w:sz w:val="24"/>
          <w:szCs w:val="24"/>
          <w:lang w:val="lt-LT"/>
        </w:rPr>
      </w:pPr>
      <w:r w:rsidRPr="00F076FF">
        <w:rPr>
          <w:bCs/>
          <w:sz w:val="24"/>
          <w:szCs w:val="24"/>
          <w:lang w:val="lt-LT"/>
        </w:rPr>
        <w:lastRenderedPageBreak/>
        <w:t xml:space="preserve">atsargos – 16; </w:t>
      </w:r>
    </w:p>
    <w:p w14:paraId="3B63BE1A" w14:textId="77777777" w:rsidR="00CC238F" w:rsidRPr="00F076FF" w:rsidRDefault="00CC238F" w:rsidP="004C6335">
      <w:pPr>
        <w:ind w:firstLine="567"/>
        <w:jc w:val="both"/>
        <w:rPr>
          <w:bCs/>
          <w:sz w:val="24"/>
          <w:szCs w:val="24"/>
          <w:lang w:val="lt-LT"/>
        </w:rPr>
      </w:pPr>
      <w:r w:rsidRPr="00F076FF">
        <w:rPr>
          <w:bCs/>
          <w:sz w:val="24"/>
          <w:szCs w:val="24"/>
          <w:lang w:val="lt-LT"/>
        </w:rPr>
        <w:t xml:space="preserve">pirkėjų skolos –228;                                                                   </w:t>
      </w:r>
    </w:p>
    <w:p w14:paraId="3B63BE1B" w14:textId="5B8BE834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piniginės lėšos </w:t>
      </w:r>
      <w:r w:rsidRPr="00F076FF">
        <w:rPr>
          <w:rFonts w:ascii="Times New Roman" w:hAnsi="Times New Roman"/>
          <w:bCs/>
          <w:sz w:val="24"/>
          <w:szCs w:val="24"/>
          <w:lang w:eastAsia="lt-LT"/>
        </w:rPr>
        <w:t>–</w:t>
      </w:r>
      <w:r w:rsidRPr="00F076FF">
        <w:rPr>
          <w:rFonts w:ascii="Times New Roman" w:hAnsi="Times New Roman"/>
          <w:sz w:val="24"/>
          <w:szCs w:val="24"/>
        </w:rPr>
        <w:t xml:space="preserve"> 58</w:t>
      </w:r>
      <w:r w:rsidR="00352BBA" w:rsidRPr="00F076FF">
        <w:rPr>
          <w:rFonts w:ascii="Times New Roman" w:hAnsi="Times New Roman"/>
          <w:sz w:val="24"/>
          <w:szCs w:val="24"/>
        </w:rPr>
        <w:t>.</w:t>
      </w:r>
      <w:r w:rsidRPr="00F076FF">
        <w:rPr>
          <w:rFonts w:ascii="Times New Roman" w:hAnsi="Times New Roman"/>
          <w:sz w:val="24"/>
          <w:szCs w:val="24"/>
        </w:rPr>
        <w:t xml:space="preserve">    </w:t>
      </w:r>
    </w:p>
    <w:p w14:paraId="3B63BE1C" w14:textId="280473AD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Vis</w:t>
      </w:r>
      <w:r w:rsidR="00352BBA" w:rsidRPr="00F076FF">
        <w:rPr>
          <w:rFonts w:ascii="Times New Roman" w:hAnsi="Times New Roman"/>
          <w:b/>
          <w:sz w:val="24"/>
          <w:szCs w:val="24"/>
        </w:rPr>
        <w:t>as</w:t>
      </w:r>
      <w:r w:rsidRPr="00F076FF">
        <w:rPr>
          <w:rFonts w:ascii="Times New Roman" w:hAnsi="Times New Roman"/>
          <w:b/>
          <w:sz w:val="24"/>
          <w:szCs w:val="24"/>
        </w:rPr>
        <w:t xml:space="preserve"> trumpalaikis turtas: 302. </w:t>
      </w:r>
    </w:p>
    <w:p w14:paraId="3B63BE1D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B63BE1E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Iš viso turtas: 1777 tūkst. Eur.</w:t>
      </w:r>
    </w:p>
    <w:p w14:paraId="3B63BE1F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B63BE22" w14:textId="2EDA09B9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Informacija apie įsigytą, nurašytą turtą, tūkst. Eur</w:t>
      </w:r>
      <w:r w:rsidR="00BF44FA" w:rsidRPr="00F076FF">
        <w:rPr>
          <w:rFonts w:ascii="Times New Roman" w:hAnsi="Times New Roman"/>
          <w:sz w:val="24"/>
          <w:szCs w:val="24"/>
        </w:rPr>
        <w:t xml:space="preserve">. </w:t>
      </w:r>
      <w:r w:rsidRPr="00F076FF">
        <w:rPr>
          <w:rFonts w:ascii="Times New Roman" w:hAnsi="Times New Roman"/>
          <w:sz w:val="24"/>
          <w:szCs w:val="24"/>
        </w:rPr>
        <w:t>2018 metais buvo pirkta</w:t>
      </w:r>
      <w:r w:rsidR="00BF44FA" w:rsidRPr="00F076FF">
        <w:rPr>
          <w:rFonts w:ascii="Times New Roman" w:hAnsi="Times New Roman"/>
          <w:sz w:val="24"/>
          <w:szCs w:val="24"/>
        </w:rPr>
        <w:t xml:space="preserve">s </w:t>
      </w:r>
      <w:r w:rsidRPr="00F076FF">
        <w:rPr>
          <w:rFonts w:ascii="Times New Roman" w:hAnsi="Times New Roman"/>
          <w:sz w:val="24"/>
          <w:szCs w:val="24"/>
        </w:rPr>
        <w:t xml:space="preserve">kopijavimo aparatas, </w:t>
      </w:r>
      <w:r w:rsidR="00BF44FA" w:rsidRPr="00F076FF">
        <w:rPr>
          <w:rFonts w:ascii="Times New Roman" w:hAnsi="Times New Roman"/>
          <w:sz w:val="24"/>
          <w:szCs w:val="24"/>
        </w:rPr>
        <w:t xml:space="preserve">kurio </w:t>
      </w:r>
      <w:r w:rsidRPr="00F076FF">
        <w:rPr>
          <w:rFonts w:ascii="Times New Roman" w:hAnsi="Times New Roman"/>
          <w:sz w:val="24"/>
          <w:szCs w:val="24"/>
        </w:rPr>
        <w:t xml:space="preserve">vertė </w:t>
      </w:r>
      <w:r w:rsidR="00BF44FA" w:rsidRPr="00F076FF">
        <w:rPr>
          <w:bCs/>
          <w:sz w:val="24"/>
          <w:szCs w:val="24"/>
        </w:rPr>
        <w:t xml:space="preserve">– </w:t>
      </w:r>
      <w:r w:rsidRPr="00F076FF">
        <w:rPr>
          <w:rFonts w:ascii="Times New Roman" w:hAnsi="Times New Roman"/>
          <w:sz w:val="24"/>
          <w:szCs w:val="24"/>
        </w:rPr>
        <w:t>0,2 tūkst. Eur.</w:t>
      </w:r>
    </w:p>
    <w:p w14:paraId="3B63BE23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63BE24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2018 metais nurašytas turtas: nėra.</w:t>
      </w:r>
    </w:p>
    <w:p w14:paraId="3B63BE25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E26" w14:textId="31DC78F2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IV. ŪKINĖ VEIKLA, FINANSINIAI VEIKLOS RODIKLIAI</w:t>
      </w:r>
    </w:p>
    <w:p w14:paraId="3B63BE27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B63BE28" w14:textId="77777777" w:rsidR="00CC238F" w:rsidRPr="00F076FF" w:rsidRDefault="00CC238F" w:rsidP="00CC238F">
      <w:pPr>
        <w:pStyle w:val="Betarp"/>
        <w:jc w:val="right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tūkst. Eur</w:t>
      </w:r>
      <w:r w:rsidRPr="00F076FF">
        <w:rPr>
          <w:rFonts w:ascii="Times New Roman" w:hAnsi="Times New Roman"/>
          <w:sz w:val="24"/>
          <w:szCs w:val="24"/>
        </w:rPr>
        <w:tab/>
      </w:r>
    </w:p>
    <w:tbl>
      <w:tblPr>
        <w:tblW w:w="957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2279"/>
        <w:gridCol w:w="2001"/>
        <w:gridCol w:w="1647"/>
        <w:gridCol w:w="1564"/>
        <w:gridCol w:w="2085"/>
      </w:tblGrid>
      <w:tr w:rsidR="00CC238F" w:rsidRPr="00F076FF" w14:paraId="3B63BE36" w14:textId="77777777" w:rsidTr="00CC238F">
        <w:trPr>
          <w:trHeight w:val="52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3BE29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  <w:p w14:paraId="3B63BE2A" w14:textId="77777777" w:rsidR="00CC238F" w:rsidRPr="00F076FF" w:rsidRDefault="00CC238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3B63BE2B" w14:textId="77777777" w:rsidR="00CC238F" w:rsidRPr="00F076FF" w:rsidRDefault="00CC238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Pagrindiniai rodikliai</w:t>
            </w:r>
          </w:p>
          <w:p w14:paraId="3B63BE2C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2D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Namų eksploatacija, transportas</w:t>
            </w:r>
          </w:p>
          <w:p w14:paraId="3B63BE2E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2F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Šilumos ūkis</w:t>
            </w:r>
          </w:p>
          <w:p w14:paraId="3B63BE30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31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Kita veikla</w:t>
            </w:r>
          </w:p>
          <w:p w14:paraId="3B63BE32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BE33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  <w:p w14:paraId="3B63BE34" w14:textId="77777777" w:rsidR="00CC238F" w:rsidRPr="00F076FF" w:rsidRDefault="00CC238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3B63BE35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</w:tr>
      <w:tr w:rsidR="00CC238F" w:rsidRPr="00F076FF" w14:paraId="3B63BE3F" w14:textId="77777777" w:rsidTr="00CC238F">
        <w:trPr>
          <w:trHeight w:val="84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BE37" w14:textId="77777777" w:rsidR="00CC238F" w:rsidRPr="00F076FF" w:rsidRDefault="00CC238F">
            <w:pPr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 xml:space="preserve">Pajamos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38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40,9</w:t>
            </w:r>
          </w:p>
          <w:p w14:paraId="3B63BE39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3A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405,8</w:t>
            </w:r>
          </w:p>
          <w:p w14:paraId="3B63BE3B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3C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18,4</w:t>
            </w:r>
          </w:p>
          <w:p w14:paraId="3B63BE3D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BE3E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465,1</w:t>
            </w:r>
          </w:p>
        </w:tc>
      </w:tr>
      <w:tr w:rsidR="00CC238F" w:rsidRPr="00F076FF" w14:paraId="3B63BE49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40" w14:textId="77777777" w:rsidR="00CC238F" w:rsidRPr="00F076FF" w:rsidRDefault="00CC238F">
            <w:pPr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Sąnaudos iš viso: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1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51,9</w:t>
            </w:r>
          </w:p>
          <w:p w14:paraId="3B63BE42" w14:textId="77777777" w:rsidR="00CC238F" w:rsidRPr="00F076FF" w:rsidRDefault="00CC238F">
            <w:pPr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3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396,5</w:t>
            </w:r>
          </w:p>
          <w:p w14:paraId="3B63BE44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5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18,5</w:t>
            </w:r>
          </w:p>
          <w:p w14:paraId="3B63BE46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47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466,9</w:t>
            </w:r>
          </w:p>
          <w:p w14:paraId="3B63BE48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CC238F" w:rsidRPr="00F076FF" w14:paraId="3B63BE52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4A" w14:textId="2A406189" w:rsidR="00CC238F" w:rsidRPr="00F076FF" w:rsidRDefault="00BF44FA" w:rsidP="00BF44FA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tarp kurių</w:t>
            </w:r>
            <w:r w:rsidR="00CC238F" w:rsidRPr="00F076FF">
              <w:rPr>
                <w:color w:val="000000"/>
                <w:sz w:val="24"/>
                <w:szCs w:val="24"/>
                <w:lang w:val="lt-LT"/>
              </w:rPr>
              <w:t xml:space="preserve"> darbo užmokestis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B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30,4</w:t>
            </w:r>
          </w:p>
          <w:p w14:paraId="3B63BE4C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D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168,5</w:t>
            </w:r>
          </w:p>
          <w:p w14:paraId="3B63BE4E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4F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50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198,9</w:t>
            </w:r>
          </w:p>
          <w:p w14:paraId="3B63BE51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</w:tr>
      <w:tr w:rsidR="00CC238F" w:rsidRPr="00F076FF" w14:paraId="3B63BE58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53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soc. draudimas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54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9,4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55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52,6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56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57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62,0</w:t>
            </w:r>
          </w:p>
        </w:tc>
      </w:tr>
      <w:tr w:rsidR="00CC238F" w:rsidRPr="00F076FF" w14:paraId="3B63BE61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59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ilgalaikio turto nusidėvėjimas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5A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0,7</w:t>
            </w:r>
          </w:p>
          <w:p w14:paraId="3B63BE5B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5C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50,0</w:t>
            </w:r>
          </w:p>
          <w:p w14:paraId="3B63BE5D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5E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5F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50,7</w:t>
            </w:r>
          </w:p>
          <w:p w14:paraId="3B63BE60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</w:tr>
      <w:tr w:rsidR="00CC238F" w:rsidRPr="00F076FF" w14:paraId="3B63BE6A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62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medžiagos, atsarginės dalys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63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5,5</w:t>
            </w:r>
          </w:p>
          <w:p w14:paraId="3B63BE64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65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6,8</w:t>
            </w:r>
          </w:p>
          <w:p w14:paraId="3B63BE66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67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68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12,3</w:t>
            </w:r>
          </w:p>
          <w:p w14:paraId="3B63BE69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</w:tr>
      <w:tr w:rsidR="00CC238F" w:rsidRPr="00F076FF" w14:paraId="3B63BE70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6B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kuras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6C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6D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84,4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6E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6F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86,3</w:t>
            </w:r>
          </w:p>
        </w:tc>
      </w:tr>
      <w:tr w:rsidR="00CC238F" w:rsidRPr="00F076FF" w14:paraId="3B63BE76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1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elektra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72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3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18,6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4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5,2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75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23,8</w:t>
            </w:r>
          </w:p>
        </w:tc>
      </w:tr>
      <w:tr w:rsidR="00CC238F" w:rsidRPr="00F076FF" w14:paraId="3B63BE7C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7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78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9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A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9,6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7B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10,0</w:t>
            </w:r>
          </w:p>
        </w:tc>
      </w:tr>
      <w:tr w:rsidR="00CC238F" w:rsidRPr="00F076FF" w14:paraId="3B63BE82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D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palūkanos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7E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7F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80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81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CC238F" w:rsidRPr="00F076FF" w14:paraId="3B63BE88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3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mokesčiai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84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5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86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87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2,0</w:t>
            </w:r>
          </w:p>
        </w:tc>
      </w:tr>
      <w:tr w:rsidR="00CC238F" w:rsidRPr="00F076FF" w14:paraId="3B63BE8E" w14:textId="77777777" w:rsidTr="00CC238F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9" w14:textId="77777777" w:rsidR="00CC238F" w:rsidRPr="00F076FF" w:rsidRDefault="00CC238F">
            <w:pPr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kitos sąnaudos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A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4,0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B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13,2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C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3,7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BE8D" w14:textId="77777777" w:rsidR="00CC238F" w:rsidRPr="00F076FF" w:rsidRDefault="00CC238F">
            <w:pPr>
              <w:jc w:val="center"/>
              <w:rPr>
                <w:rFonts w:eastAsia="Calibri"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color w:val="000000"/>
                <w:sz w:val="24"/>
                <w:szCs w:val="24"/>
                <w:lang w:val="lt-LT"/>
              </w:rPr>
              <w:t>20,9</w:t>
            </w:r>
          </w:p>
        </w:tc>
      </w:tr>
      <w:tr w:rsidR="00CC238F" w:rsidRPr="00F076FF" w14:paraId="3B63BE98" w14:textId="77777777" w:rsidTr="00CC238F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BE8F" w14:textId="77777777" w:rsidR="00CC238F" w:rsidRPr="00F076FF" w:rsidRDefault="00CC238F">
            <w:pPr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Veiklos rezultatas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90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-11,0</w:t>
            </w:r>
          </w:p>
          <w:p w14:paraId="3B63BE91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92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9,3</w:t>
            </w:r>
          </w:p>
          <w:p w14:paraId="3B63BE93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BE94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-0,1</w:t>
            </w:r>
          </w:p>
          <w:p w14:paraId="3B63BE95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3BE96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  <w:r w:rsidRPr="00F076FF">
              <w:rPr>
                <w:b/>
                <w:color w:val="000000"/>
                <w:sz w:val="24"/>
                <w:szCs w:val="24"/>
                <w:lang w:val="lt-LT"/>
              </w:rPr>
              <w:t>-1,8</w:t>
            </w:r>
          </w:p>
          <w:p w14:paraId="3B63BE97" w14:textId="77777777" w:rsidR="00CC238F" w:rsidRPr="00F076FF" w:rsidRDefault="00CC23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3B63BE99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E9A" w14:textId="513006EE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Pagrindinė veikla: šilumos ir karšto vandens gamyba. Pokyčiai</w:t>
      </w:r>
      <w:r w:rsidR="008F5C91" w:rsidRPr="00F076FF">
        <w:rPr>
          <w:rFonts w:ascii="Times New Roman" w:hAnsi="Times New Roman"/>
          <w:sz w:val="24"/>
          <w:szCs w:val="24"/>
        </w:rPr>
        <w:t>, palyginti</w:t>
      </w:r>
      <w:r w:rsidRPr="00F076FF">
        <w:rPr>
          <w:rFonts w:ascii="Times New Roman" w:hAnsi="Times New Roman"/>
          <w:sz w:val="24"/>
          <w:szCs w:val="24"/>
        </w:rPr>
        <w:t xml:space="preserve"> su 2017  metais:</w:t>
      </w:r>
    </w:p>
    <w:p w14:paraId="3B63BE9B" w14:textId="3A86C70E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ab/>
        <w:t>pajamos padidėjo 10,8 tūkst. Eur, arba 2,4 proc.;</w:t>
      </w:r>
    </w:p>
    <w:p w14:paraId="3B63BE9C" w14:textId="5924A745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ab/>
        <w:t>sąnaudos padidėjo 24,1 tūkst. Eur, arba 5,4 proc.</w:t>
      </w:r>
    </w:p>
    <w:p w14:paraId="3B63BE9D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ab/>
        <w:t>Aplinkybės, nulėmusios pajamų padidėjimą:</w:t>
      </w:r>
    </w:p>
    <w:p w14:paraId="3B63BE9E" w14:textId="77777777" w:rsidR="00CC238F" w:rsidRPr="00F076FF" w:rsidRDefault="00CC238F" w:rsidP="004C6335">
      <w:pPr>
        <w:pStyle w:val="Betarp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žemesnė vidutinė oro temperatūra šildymo sezonų metu, skirtumas apie 1°C;</w:t>
      </w:r>
    </w:p>
    <w:p w14:paraId="3B63BE9F" w14:textId="77777777" w:rsidR="00CC238F" w:rsidRPr="00F076FF" w:rsidRDefault="00CC238F" w:rsidP="004C6335">
      <w:pPr>
        <w:pStyle w:val="Betarp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didesnės Juodupės seniūnijos kelių ir gatvių priežiūros žiemą apimtys.</w:t>
      </w:r>
    </w:p>
    <w:p w14:paraId="3B63BEA0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Sąnaudos didėjo dėl:</w:t>
      </w:r>
    </w:p>
    <w:p w14:paraId="3B63BEA1" w14:textId="77777777" w:rsidR="00CC238F" w:rsidRPr="00F076FF" w:rsidRDefault="00CC238F" w:rsidP="004C6335">
      <w:pPr>
        <w:pStyle w:val="Betarp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darbo užmokesčio augimo;</w:t>
      </w:r>
    </w:p>
    <w:p w14:paraId="3B63BEA2" w14:textId="77777777" w:rsidR="00CC238F" w:rsidRPr="00F076FF" w:rsidRDefault="00CC238F" w:rsidP="004C6335">
      <w:pPr>
        <w:pStyle w:val="Betarp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katilinių kuro kainos padidėjimo;</w:t>
      </w:r>
    </w:p>
    <w:p w14:paraId="3B63BEA3" w14:textId="77777777" w:rsidR="00CC238F" w:rsidRPr="00F076FF" w:rsidRDefault="00CC238F" w:rsidP="004C6335">
      <w:pPr>
        <w:pStyle w:val="Betarp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remonto apimčių padidėjimo.</w:t>
      </w:r>
    </w:p>
    <w:p w14:paraId="3B63BEA4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63BEA5" w14:textId="6E31E3C5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lastRenderedPageBreak/>
        <w:t>Šildymo ir karšto vandens kaina patvirtinta (be pakeitimų) 2016-02-19:</w:t>
      </w:r>
      <w:bookmarkStart w:id="0" w:name="_GoBack"/>
      <w:bookmarkEnd w:id="0"/>
    </w:p>
    <w:p w14:paraId="3B63BEA6" w14:textId="21EB4E9C" w:rsidR="00CC238F" w:rsidRPr="00F076FF" w:rsidRDefault="00CC238F" w:rsidP="004C6335">
      <w:pPr>
        <w:pStyle w:val="Betarp"/>
        <w:tabs>
          <w:tab w:val="left" w:pos="8025"/>
        </w:tabs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7,8 ct/kWh šildy</w:t>
      </w:r>
      <w:r w:rsidR="008F5C91" w:rsidRPr="00F076FF">
        <w:rPr>
          <w:rFonts w:ascii="Times New Roman" w:hAnsi="Times New Roman"/>
          <w:sz w:val="24"/>
          <w:szCs w:val="24"/>
        </w:rPr>
        <w:t>ti</w:t>
      </w:r>
      <w:r w:rsidRPr="00F076FF">
        <w:rPr>
          <w:rFonts w:ascii="Times New Roman" w:hAnsi="Times New Roman"/>
          <w:sz w:val="24"/>
          <w:szCs w:val="24"/>
        </w:rPr>
        <w:t>, taikoma nuo 2010-03-01;</w:t>
      </w:r>
      <w:r w:rsidR="004C6335">
        <w:rPr>
          <w:rFonts w:ascii="Times New Roman" w:hAnsi="Times New Roman"/>
          <w:sz w:val="24"/>
          <w:szCs w:val="24"/>
        </w:rPr>
        <w:tab/>
      </w:r>
    </w:p>
    <w:p w14:paraId="3B63BEA7" w14:textId="02BD7468" w:rsidR="00CC238F" w:rsidRPr="00F076FF" w:rsidRDefault="00CC238F" w:rsidP="004C6335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5,7 Eur/</w:t>
      </w:r>
      <w:r w:rsidR="008F5C91" w:rsidRPr="00F076FF">
        <w:rPr>
          <w:rFonts w:ascii="Times New Roman" w:hAnsi="Times New Roman"/>
          <w:sz w:val="24"/>
          <w:szCs w:val="24"/>
        </w:rPr>
        <w:t>kub. m</w:t>
      </w:r>
      <w:r w:rsidRPr="00F076FF">
        <w:rPr>
          <w:rFonts w:ascii="Times New Roman" w:hAnsi="Times New Roman"/>
          <w:sz w:val="24"/>
          <w:szCs w:val="24"/>
        </w:rPr>
        <w:t xml:space="preserve"> karštam vandeniui, taikoma nuo 2013-03-01.</w:t>
      </w:r>
    </w:p>
    <w:p w14:paraId="3B63BEA8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63BEA9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Priskaičiuoti ir sumokėti mokesčiai:  </w:t>
      </w:r>
    </w:p>
    <w:p w14:paraId="3B63BEAA" w14:textId="77777777" w:rsidR="00CC238F" w:rsidRPr="00F076FF" w:rsidRDefault="00CC238F" w:rsidP="00CC238F">
      <w:pPr>
        <w:pStyle w:val="Betarp"/>
        <w:jc w:val="right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ab/>
      </w:r>
      <w:r w:rsidRPr="00F076FF">
        <w:rPr>
          <w:rFonts w:ascii="Times New Roman" w:hAnsi="Times New Roman"/>
          <w:sz w:val="24"/>
          <w:szCs w:val="24"/>
        </w:rPr>
        <w:tab/>
      </w:r>
      <w:r w:rsidRPr="00F076FF">
        <w:rPr>
          <w:rFonts w:ascii="Times New Roman" w:hAnsi="Times New Roman"/>
          <w:sz w:val="24"/>
          <w:szCs w:val="24"/>
        </w:rPr>
        <w:tab/>
      </w:r>
      <w:r w:rsidRPr="00F076FF">
        <w:rPr>
          <w:rFonts w:ascii="Times New Roman" w:hAnsi="Times New Roman"/>
          <w:sz w:val="24"/>
          <w:szCs w:val="24"/>
        </w:rPr>
        <w:tab/>
      </w:r>
      <w:r w:rsidRPr="00F076FF">
        <w:rPr>
          <w:rFonts w:ascii="Times New Roman" w:hAnsi="Times New Roman"/>
          <w:sz w:val="24"/>
          <w:szCs w:val="24"/>
        </w:rPr>
        <w:tab/>
        <w:t xml:space="preserve">                tūkst. Eur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1187"/>
        <w:gridCol w:w="1134"/>
        <w:gridCol w:w="1062"/>
        <w:gridCol w:w="1793"/>
        <w:gridCol w:w="1147"/>
        <w:gridCol w:w="988"/>
        <w:gridCol w:w="836"/>
      </w:tblGrid>
      <w:tr w:rsidR="00CC238F" w:rsidRPr="00F076FF" w14:paraId="3B63BEB3" w14:textId="77777777" w:rsidTr="000D3154">
        <w:trPr>
          <w:trHeight w:val="96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EAB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AC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Gyventojų pajamų mokesčio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AD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Pridėtinės vertės mokesčio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AE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Taršos mokestis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AF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Nekilnojamojo turto mokesčio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0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Socialinio draudimo mokesčio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1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Kitų mokesčių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2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</w:tr>
      <w:tr w:rsidR="00CC238F" w:rsidRPr="00F076FF" w14:paraId="3B63BEBC" w14:textId="77777777" w:rsidTr="000D3154">
        <w:trPr>
          <w:trHeight w:val="32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4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Priskaičiuota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5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6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7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8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9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A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B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</w:tr>
      <w:tr w:rsidR="00CC238F" w:rsidRPr="00F076FF" w14:paraId="3B63BEC5" w14:textId="77777777" w:rsidTr="000D3154">
        <w:trPr>
          <w:trHeight w:val="3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D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Sumokėta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E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BF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C0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C1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C2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C3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EC4" w14:textId="77777777" w:rsidR="00CC238F" w:rsidRPr="00F076FF" w:rsidRDefault="00CC238F">
            <w:pPr>
              <w:pStyle w:val="Betarp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6FF"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</w:tr>
    </w:tbl>
    <w:p w14:paraId="3B63BEC6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EC7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Informacija apie debitorinį ir kreditorinį įsiskolinimą (tūkst. Eur):</w:t>
      </w:r>
    </w:p>
    <w:p w14:paraId="3B63BECB" w14:textId="23B64B30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debitorinis įsiskolinimas 2018-12-31 iš viso: 227,8</w:t>
      </w:r>
      <w:r w:rsidR="008F5C91" w:rsidRPr="00F076FF">
        <w:rPr>
          <w:rFonts w:ascii="Times New Roman" w:hAnsi="Times New Roman"/>
          <w:sz w:val="24"/>
          <w:szCs w:val="24"/>
        </w:rPr>
        <w:t>, iš kurių</w:t>
      </w:r>
      <w:r w:rsidRPr="00F076FF">
        <w:rPr>
          <w:rFonts w:ascii="Times New Roman" w:hAnsi="Times New Roman"/>
          <w:sz w:val="24"/>
          <w:szCs w:val="24"/>
        </w:rPr>
        <w:t>:</w:t>
      </w:r>
      <w:r w:rsidR="008F5C91" w:rsidRPr="00F076FF">
        <w:rPr>
          <w:rFonts w:ascii="Times New Roman" w:hAnsi="Times New Roman"/>
          <w:sz w:val="24"/>
          <w:szCs w:val="24"/>
        </w:rPr>
        <w:t xml:space="preserve"> </w:t>
      </w:r>
      <w:r w:rsidRPr="00F076FF">
        <w:rPr>
          <w:rFonts w:ascii="Times New Roman" w:hAnsi="Times New Roman"/>
          <w:sz w:val="24"/>
          <w:szCs w:val="24"/>
        </w:rPr>
        <w:t>gyventojai – 169,7</w:t>
      </w:r>
      <w:r w:rsidR="008F5C91" w:rsidRPr="00F076FF">
        <w:rPr>
          <w:rFonts w:ascii="Times New Roman" w:hAnsi="Times New Roman"/>
          <w:sz w:val="24"/>
          <w:szCs w:val="24"/>
        </w:rPr>
        <w:t xml:space="preserve">, </w:t>
      </w:r>
      <w:r w:rsidRPr="00F076FF">
        <w:rPr>
          <w:rFonts w:ascii="Times New Roman" w:hAnsi="Times New Roman"/>
          <w:sz w:val="24"/>
          <w:szCs w:val="24"/>
        </w:rPr>
        <w:t>Rokiškio r. savivaldybė – 38,6</w:t>
      </w:r>
      <w:r w:rsidR="008F5C91" w:rsidRPr="00F076FF">
        <w:rPr>
          <w:rFonts w:ascii="Times New Roman" w:hAnsi="Times New Roman"/>
          <w:sz w:val="24"/>
          <w:szCs w:val="24"/>
        </w:rPr>
        <w:t xml:space="preserve">, </w:t>
      </w:r>
      <w:r w:rsidRPr="00F076FF">
        <w:rPr>
          <w:rFonts w:ascii="Times New Roman" w:hAnsi="Times New Roman"/>
          <w:sz w:val="24"/>
          <w:szCs w:val="24"/>
        </w:rPr>
        <w:t>Juodupės vaikų darželis  – 5,6.</w:t>
      </w:r>
    </w:p>
    <w:p w14:paraId="3B63BECC" w14:textId="77777777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3B63BED0" w14:textId="0632581F" w:rsidR="00CC238F" w:rsidRPr="00F076FF" w:rsidRDefault="00CC238F" w:rsidP="004C6335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Kreditorinis įsiskolinimas 2018-12-31 iš viso: 34,5</w:t>
      </w:r>
      <w:r w:rsidR="008F5C91" w:rsidRPr="00F076FF">
        <w:rPr>
          <w:rFonts w:ascii="Times New Roman" w:hAnsi="Times New Roman"/>
          <w:sz w:val="24"/>
          <w:szCs w:val="24"/>
        </w:rPr>
        <w:t>, iš kurių</w:t>
      </w:r>
      <w:r w:rsidRPr="00F076FF">
        <w:rPr>
          <w:rFonts w:ascii="Times New Roman" w:hAnsi="Times New Roman"/>
          <w:sz w:val="24"/>
          <w:szCs w:val="24"/>
        </w:rPr>
        <w:t>: AB „Rėkyva“ – 11,6</w:t>
      </w:r>
      <w:r w:rsidR="008F5C91" w:rsidRPr="00F076FF">
        <w:rPr>
          <w:rFonts w:ascii="Times New Roman" w:hAnsi="Times New Roman"/>
          <w:sz w:val="24"/>
          <w:szCs w:val="24"/>
        </w:rPr>
        <w:t xml:space="preserve">, </w:t>
      </w:r>
      <w:r w:rsidRPr="00F076FF">
        <w:rPr>
          <w:rFonts w:ascii="Times New Roman" w:hAnsi="Times New Roman"/>
          <w:sz w:val="24"/>
          <w:szCs w:val="24"/>
        </w:rPr>
        <w:t xml:space="preserve">AB ,,Energijos skirstymo operatorius“ </w:t>
      </w:r>
      <w:bookmarkStart w:id="1" w:name="_Hlk5629727"/>
      <w:r w:rsidRPr="00F076FF">
        <w:rPr>
          <w:rFonts w:ascii="Times New Roman" w:hAnsi="Times New Roman"/>
          <w:sz w:val="24"/>
          <w:szCs w:val="24"/>
        </w:rPr>
        <w:t>–</w:t>
      </w:r>
      <w:bookmarkEnd w:id="1"/>
      <w:r w:rsidRPr="00F076FF">
        <w:rPr>
          <w:rFonts w:ascii="Times New Roman" w:hAnsi="Times New Roman"/>
          <w:sz w:val="24"/>
          <w:szCs w:val="24"/>
        </w:rPr>
        <w:t xml:space="preserve"> 2,2</w:t>
      </w:r>
      <w:r w:rsidR="008F5C91" w:rsidRPr="00F076FF">
        <w:rPr>
          <w:rFonts w:ascii="Times New Roman" w:hAnsi="Times New Roman"/>
          <w:sz w:val="24"/>
          <w:szCs w:val="24"/>
        </w:rPr>
        <w:t xml:space="preserve">, </w:t>
      </w:r>
      <w:r w:rsidRPr="00F076FF">
        <w:rPr>
          <w:rFonts w:ascii="Times New Roman" w:hAnsi="Times New Roman"/>
          <w:sz w:val="24"/>
          <w:szCs w:val="24"/>
        </w:rPr>
        <w:t>atostogų rezervas – 12,6.</w:t>
      </w:r>
    </w:p>
    <w:p w14:paraId="3B63BED1" w14:textId="77777777" w:rsidR="00CC238F" w:rsidRPr="00F076FF" w:rsidRDefault="00CC238F" w:rsidP="00CC238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B63BED2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076FF">
        <w:rPr>
          <w:rFonts w:ascii="Times New Roman" w:hAnsi="Times New Roman"/>
          <w:b/>
          <w:sz w:val="24"/>
          <w:szCs w:val="24"/>
        </w:rPr>
        <w:t>V. VEIKLOS PLANAI IR PROGNOZĖS</w:t>
      </w:r>
    </w:p>
    <w:p w14:paraId="3B63BED3" w14:textId="77777777" w:rsidR="00CC238F" w:rsidRPr="00F076FF" w:rsidRDefault="00CC238F" w:rsidP="00CC238F">
      <w:pPr>
        <w:rPr>
          <w:sz w:val="24"/>
          <w:szCs w:val="24"/>
          <w:lang w:val="lt-LT"/>
        </w:rPr>
      </w:pPr>
    </w:p>
    <w:p w14:paraId="3B63BED4" w14:textId="51275580" w:rsidR="00CC238F" w:rsidRPr="00F076FF" w:rsidRDefault="00CC238F" w:rsidP="00CC238F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ab/>
        <w:t xml:space="preserve">Rokiškio rajono savivaldybės </w:t>
      </w:r>
      <w:r w:rsidR="00D05416" w:rsidRPr="00F076FF">
        <w:rPr>
          <w:sz w:val="24"/>
          <w:szCs w:val="24"/>
          <w:lang w:val="lt-LT"/>
        </w:rPr>
        <w:t>t</w:t>
      </w:r>
      <w:r w:rsidRPr="00F076FF">
        <w:rPr>
          <w:sz w:val="24"/>
          <w:szCs w:val="24"/>
          <w:lang w:val="lt-LT"/>
        </w:rPr>
        <w:t>arybos posėdyje 2019 m. kovo mėnesį buvo pristatyti laikinosios komisijos pasiūlymai dėl akcinių bendrovių „Rokiškio komunalininkas“ ir Rokiškio butų ūki</w:t>
      </w:r>
      <w:r w:rsidR="00D05416" w:rsidRPr="00F076FF">
        <w:rPr>
          <w:sz w:val="24"/>
          <w:szCs w:val="24"/>
          <w:lang w:val="lt-LT"/>
        </w:rPr>
        <w:t>o</w:t>
      </w:r>
      <w:r w:rsidRPr="00F076FF">
        <w:rPr>
          <w:sz w:val="24"/>
          <w:szCs w:val="24"/>
          <w:lang w:val="lt-LT"/>
        </w:rPr>
        <w:t xml:space="preserve"> sujungimo. Antruoju punktu komisija siūlo išanalizuoti </w:t>
      </w:r>
      <w:r w:rsidR="00D05416" w:rsidRPr="00F076FF">
        <w:rPr>
          <w:sz w:val="24"/>
          <w:szCs w:val="24"/>
          <w:lang w:val="lt-LT"/>
        </w:rPr>
        <w:t>viešosios</w:t>
      </w:r>
      <w:r w:rsidRPr="00F076FF">
        <w:rPr>
          <w:sz w:val="24"/>
          <w:szCs w:val="24"/>
          <w:lang w:val="lt-LT"/>
        </w:rPr>
        <w:t xml:space="preserve"> įstaig</w:t>
      </w:r>
      <w:r w:rsidR="00D05416" w:rsidRPr="00F076FF">
        <w:rPr>
          <w:sz w:val="24"/>
          <w:szCs w:val="24"/>
          <w:lang w:val="lt-LT"/>
        </w:rPr>
        <w:t>os</w:t>
      </w:r>
      <w:r w:rsidRPr="00F076FF">
        <w:rPr>
          <w:sz w:val="24"/>
          <w:szCs w:val="24"/>
          <w:lang w:val="lt-LT"/>
        </w:rPr>
        <w:t xml:space="preserve"> Juodupės komunalini</w:t>
      </w:r>
      <w:r w:rsidR="00D05416" w:rsidRPr="00F076FF">
        <w:rPr>
          <w:sz w:val="24"/>
          <w:szCs w:val="24"/>
          <w:lang w:val="lt-LT"/>
        </w:rPr>
        <w:t xml:space="preserve">o ūkio </w:t>
      </w:r>
      <w:r w:rsidRPr="00F076FF">
        <w:rPr>
          <w:sz w:val="24"/>
          <w:szCs w:val="24"/>
          <w:lang w:val="lt-LT"/>
        </w:rPr>
        <w:t>likvidavimą ir turto investavimo į AB ,,Rokiškio komunalininkas“ galimybes.       Viešoji įstaiga Juodupės komunalinis ūkis siūlo išanalizuoti galimybę likviduoti įstaigą, o jos turtą konsolidavus su AB ,,Rokiškio komunalininkas“ šilumos ūkio turtu investuoti į savivaldybės steigiamą įmonę, veikiančią šilumos gamybos ir tiekimo sektoriuje. Integravus Rokiškio rajono katilines, savivaldybės netiesiogiai valdomas per VšĮ Juodupės komunalin</w:t>
      </w:r>
      <w:r w:rsidR="00D05416" w:rsidRPr="00F076FF">
        <w:rPr>
          <w:sz w:val="24"/>
          <w:szCs w:val="24"/>
          <w:lang w:val="lt-LT"/>
        </w:rPr>
        <w:t>į ūkį</w:t>
      </w:r>
      <w:r w:rsidRPr="00F076FF">
        <w:rPr>
          <w:sz w:val="24"/>
          <w:szCs w:val="24"/>
          <w:lang w:val="lt-LT"/>
        </w:rPr>
        <w:t xml:space="preserve"> ir AB ,,Rokiškio komunalininkas“ į atskirą įmonę, veikiančią tik šilumos ūkyje, būtų pasiekta daugiau skaidrumo jautriame sektoriuje.</w:t>
      </w:r>
    </w:p>
    <w:p w14:paraId="3B63BED5" w14:textId="77777777" w:rsidR="00CC238F" w:rsidRPr="00F076FF" w:rsidRDefault="00CC238F" w:rsidP="00CC238F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F076FF">
        <w:rPr>
          <w:rFonts w:ascii="Times New Roman" w:hAnsi="Times New Roman"/>
          <w:sz w:val="24"/>
          <w:szCs w:val="24"/>
        </w:rPr>
        <w:t>_________________</w:t>
      </w:r>
    </w:p>
    <w:p w14:paraId="3B63BED6" w14:textId="77777777" w:rsidR="00CC238F" w:rsidRPr="00F076FF" w:rsidRDefault="00CC238F" w:rsidP="00CC238F">
      <w:pPr>
        <w:rPr>
          <w:sz w:val="24"/>
          <w:szCs w:val="24"/>
          <w:lang w:val="lt-LT"/>
        </w:rPr>
      </w:pPr>
    </w:p>
    <w:p w14:paraId="3B63BED7" w14:textId="77777777" w:rsidR="00491737" w:rsidRPr="00F076FF" w:rsidRDefault="00491737" w:rsidP="00932F6C">
      <w:pPr>
        <w:ind w:firstLine="720"/>
        <w:jc w:val="both"/>
        <w:rPr>
          <w:b/>
          <w:sz w:val="24"/>
          <w:szCs w:val="24"/>
          <w:lang w:val="lt-LT"/>
        </w:rPr>
      </w:pPr>
    </w:p>
    <w:p w14:paraId="6DB6CEEA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192CCF76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671F9D6F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42E794AC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493F7329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2231BC38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690E7F64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6C3A115E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0AB92E86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7D3A8964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49B5C2CE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5CFF2DE1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448FF0CC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611596B4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3883589D" w14:textId="77777777" w:rsidR="004C6335" w:rsidRDefault="004C6335" w:rsidP="00932F6C">
      <w:pPr>
        <w:ind w:firstLine="720"/>
        <w:jc w:val="both"/>
        <w:rPr>
          <w:sz w:val="24"/>
          <w:szCs w:val="24"/>
          <w:lang w:val="lt-LT"/>
        </w:rPr>
      </w:pPr>
    </w:p>
    <w:p w14:paraId="14435401" w14:textId="77777777" w:rsidR="00F40BC0" w:rsidRDefault="00F40BC0" w:rsidP="00932F6C">
      <w:pPr>
        <w:ind w:firstLine="720"/>
        <w:jc w:val="both"/>
        <w:rPr>
          <w:sz w:val="24"/>
          <w:szCs w:val="24"/>
          <w:lang w:val="lt-LT"/>
        </w:rPr>
      </w:pPr>
    </w:p>
    <w:p w14:paraId="3B63BEE1" w14:textId="77777777" w:rsidR="00932F6C" w:rsidRPr="00F076FF" w:rsidRDefault="00932F6C" w:rsidP="00932F6C">
      <w:pPr>
        <w:ind w:firstLine="720"/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lastRenderedPageBreak/>
        <w:t>Rokiškio rajono savivaldybės tarybai</w:t>
      </w:r>
    </w:p>
    <w:p w14:paraId="3B63BEE2" w14:textId="77777777" w:rsidR="00932F6C" w:rsidRPr="00F076FF" w:rsidRDefault="00932F6C" w:rsidP="00932F6C">
      <w:pPr>
        <w:ind w:firstLine="720"/>
        <w:jc w:val="center"/>
        <w:rPr>
          <w:b/>
          <w:sz w:val="24"/>
          <w:szCs w:val="24"/>
          <w:lang w:val="lt-LT"/>
        </w:rPr>
      </w:pPr>
    </w:p>
    <w:p w14:paraId="4ED4C416" w14:textId="53736585" w:rsidR="007F560F" w:rsidRPr="00F076FF" w:rsidRDefault="00932F6C" w:rsidP="007F560F">
      <w:pPr>
        <w:ind w:firstLine="720"/>
        <w:jc w:val="center"/>
        <w:rPr>
          <w:b/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 xml:space="preserve">SPRENDIMO PROJEKTO ,,DĖL PRITARIMO </w:t>
      </w:r>
      <w:r w:rsidR="004B5B87" w:rsidRPr="00F076FF">
        <w:rPr>
          <w:b/>
          <w:sz w:val="24"/>
          <w:szCs w:val="24"/>
          <w:lang w:val="lt-LT"/>
        </w:rPr>
        <w:t>VIEŠOSIOS ĮSTAIGOS JUODUPĖS KOMUNALINIO ŪKIO</w:t>
      </w:r>
      <w:r w:rsidRPr="00F076FF">
        <w:rPr>
          <w:b/>
          <w:sz w:val="24"/>
          <w:szCs w:val="24"/>
          <w:lang w:val="lt-LT"/>
        </w:rPr>
        <w:t xml:space="preserve"> 201</w:t>
      </w:r>
      <w:r w:rsidR="00DE17C4" w:rsidRPr="00F076FF">
        <w:rPr>
          <w:b/>
          <w:sz w:val="24"/>
          <w:szCs w:val="24"/>
          <w:lang w:val="lt-LT"/>
        </w:rPr>
        <w:t>8</w:t>
      </w:r>
      <w:r w:rsidRPr="00F076FF">
        <w:rPr>
          <w:b/>
          <w:sz w:val="24"/>
          <w:szCs w:val="24"/>
          <w:lang w:val="lt-LT"/>
        </w:rPr>
        <w:t xml:space="preserve"> METŲ DIREKTORIAUS VEIKLOS ATASKAITAI“</w:t>
      </w:r>
      <w:r w:rsidR="007F560F" w:rsidRPr="00F076FF">
        <w:rPr>
          <w:b/>
          <w:sz w:val="24"/>
          <w:szCs w:val="24"/>
          <w:lang w:val="lt-LT"/>
        </w:rPr>
        <w:t xml:space="preserve"> AIŠKINAMASIS RAŠTAS</w:t>
      </w:r>
    </w:p>
    <w:p w14:paraId="3B63BEE4" w14:textId="5854F8AC" w:rsidR="00932F6C" w:rsidRPr="00F076FF" w:rsidRDefault="00932F6C" w:rsidP="004B5B8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3B63BEE5" w14:textId="77777777" w:rsidR="00932F6C" w:rsidRPr="00F076FF" w:rsidRDefault="00932F6C" w:rsidP="00932F6C">
      <w:pPr>
        <w:jc w:val="center"/>
        <w:rPr>
          <w:sz w:val="24"/>
          <w:szCs w:val="24"/>
          <w:lang w:val="lt-LT"/>
        </w:rPr>
      </w:pPr>
    </w:p>
    <w:p w14:paraId="3B63BEE6" w14:textId="7016F6B2" w:rsidR="00932F6C" w:rsidRPr="00F076FF" w:rsidRDefault="0019651B" w:rsidP="00932F6C">
      <w:pPr>
        <w:ind w:firstLine="720"/>
        <w:jc w:val="center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2019-04-</w:t>
      </w:r>
      <w:r w:rsidR="005209C3" w:rsidRPr="00F076FF">
        <w:rPr>
          <w:sz w:val="24"/>
          <w:szCs w:val="24"/>
          <w:lang w:val="lt-LT"/>
        </w:rPr>
        <w:t>26</w:t>
      </w:r>
    </w:p>
    <w:p w14:paraId="3B63BEE7" w14:textId="77777777" w:rsidR="0019651B" w:rsidRPr="00F076FF" w:rsidRDefault="0019651B" w:rsidP="00932F6C">
      <w:pPr>
        <w:ind w:firstLine="720"/>
        <w:jc w:val="center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Rokiškis</w:t>
      </w:r>
    </w:p>
    <w:p w14:paraId="3B63BEE8" w14:textId="77777777" w:rsidR="0019651B" w:rsidRPr="00F076FF" w:rsidRDefault="0019651B" w:rsidP="00932F6C">
      <w:pPr>
        <w:ind w:firstLine="720"/>
        <w:jc w:val="center"/>
        <w:rPr>
          <w:b/>
          <w:sz w:val="24"/>
          <w:szCs w:val="24"/>
          <w:lang w:val="lt-LT"/>
        </w:rPr>
      </w:pPr>
    </w:p>
    <w:p w14:paraId="3B63BEEA" w14:textId="3C02F98F" w:rsidR="004A7A22" w:rsidRPr="00F076FF" w:rsidRDefault="004A7A22" w:rsidP="004A7A22">
      <w:pPr>
        <w:ind w:firstLine="720"/>
        <w:jc w:val="both"/>
        <w:rPr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 xml:space="preserve">Parengto sprendimo projekto tikslai ir uždaviniai. </w:t>
      </w:r>
      <w:r w:rsidRPr="00F076FF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DE17C4" w:rsidRPr="00F076FF">
        <w:rPr>
          <w:sz w:val="24"/>
          <w:szCs w:val="24"/>
          <w:lang w:val="lt-LT"/>
        </w:rPr>
        <w:t>nte, teikiama tarybai svarstyti</w:t>
      </w:r>
      <w:r w:rsidRPr="00F076FF">
        <w:rPr>
          <w:sz w:val="24"/>
          <w:szCs w:val="24"/>
          <w:lang w:val="lt-LT"/>
        </w:rPr>
        <w:t xml:space="preserve"> </w:t>
      </w:r>
      <w:r w:rsidR="00DE17C4" w:rsidRPr="00F076FF">
        <w:rPr>
          <w:sz w:val="24"/>
          <w:szCs w:val="24"/>
          <w:lang w:val="lt-LT"/>
        </w:rPr>
        <w:t xml:space="preserve">viešosios įstaigos direktoriaus </w:t>
      </w:r>
      <w:r w:rsidRPr="00F076FF">
        <w:rPr>
          <w:sz w:val="24"/>
          <w:szCs w:val="24"/>
          <w:lang w:val="lt-LT"/>
        </w:rPr>
        <w:t>veiklos ataskaita.</w:t>
      </w:r>
    </w:p>
    <w:p w14:paraId="3B63BEEC" w14:textId="592CB631" w:rsidR="004A7A22" w:rsidRPr="00F076FF" w:rsidRDefault="004A7A22" w:rsidP="004A7A22">
      <w:pPr>
        <w:ind w:firstLine="709"/>
        <w:jc w:val="both"/>
        <w:rPr>
          <w:sz w:val="24"/>
          <w:szCs w:val="24"/>
          <w:lang w:val="lt-LT"/>
        </w:rPr>
      </w:pPr>
      <w:r w:rsidRPr="00F076FF">
        <w:rPr>
          <w:b/>
          <w:bCs/>
          <w:sz w:val="24"/>
          <w:szCs w:val="24"/>
          <w:lang w:val="lt-LT"/>
        </w:rPr>
        <w:t>Šiuo metu esantis teisinis reglamentavimas.</w:t>
      </w:r>
      <w:r w:rsidRPr="00F076FF">
        <w:rPr>
          <w:sz w:val="24"/>
          <w:szCs w:val="24"/>
          <w:lang w:val="lt-LT"/>
        </w:rPr>
        <w:t xml:space="preserve"> Lietuvos Respubli</w:t>
      </w:r>
      <w:r w:rsidR="00DE17C4" w:rsidRPr="00F076FF">
        <w:rPr>
          <w:sz w:val="24"/>
          <w:szCs w:val="24"/>
          <w:lang w:val="lt-LT"/>
        </w:rPr>
        <w:t>kos vietos savivaldos įstatymas,</w:t>
      </w:r>
      <w:r w:rsidRPr="00F076FF">
        <w:rPr>
          <w:sz w:val="24"/>
          <w:szCs w:val="24"/>
          <w:lang w:val="lt-LT"/>
        </w:rPr>
        <w:t xml:space="preserve"> ir Rokiškio rajono savivaldybės tarybos veiklos reglamentas.</w:t>
      </w:r>
    </w:p>
    <w:p w14:paraId="3B63BEEE" w14:textId="4970BAAA" w:rsidR="004B5B87" w:rsidRPr="00F076FF" w:rsidRDefault="004A7A22" w:rsidP="005209C3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F076FF">
        <w:rPr>
          <w:b/>
          <w:bCs/>
          <w:sz w:val="24"/>
          <w:szCs w:val="24"/>
          <w:lang w:val="lt-LT"/>
        </w:rPr>
        <w:tab/>
        <w:t xml:space="preserve">            Sprendimo projekto esmė</w:t>
      </w:r>
      <w:r w:rsidR="005209C3" w:rsidRPr="00F076FF">
        <w:rPr>
          <w:b/>
          <w:bCs/>
          <w:sz w:val="24"/>
          <w:szCs w:val="24"/>
          <w:lang w:val="lt-LT"/>
        </w:rPr>
        <w:t xml:space="preserve">. </w:t>
      </w:r>
      <w:r w:rsidRPr="00F076FF">
        <w:rPr>
          <w:sz w:val="24"/>
          <w:szCs w:val="24"/>
          <w:lang w:val="lt-LT"/>
        </w:rPr>
        <w:t>Lietuvos Respublikos vietos savivaldos įstatymo 16</w:t>
      </w:r>
      <w:r w:rsidR="00DE17C4" w:rsidRPr="00F076FF">
        <w:rPr>
          <w:sz w:val="24"/>
          <w:szCs w:val="24"/>
          <w:lang w:val="lt-LT"/>
        </w:rPr>
        <w:t xml:space="preserve"> straipsnio 2 dalies 19 punkte,</w:t>
      </w:r>
      <w:r w:rsidRPr="00F076FF">
        <w:rPr>
          <w:sz w:val="24"/>
          <w:szCs w:val="24"/>
          <w:lang w:val="lt-LT"/>
        </w:rPr>
        <w:t xml:space="preserve"> Rokiškio rajono sa</w:t>
      </w:r>
      <w:r w:rsidR="00DE17C4" w:rsidRPr="00F076FF">
        <w:rPr>
          <w:sz w:val="24"/>
          <w:szCs w:val="24"/>
          <w:lang w:val="lt-LT"/>
        </w:rPr>
        <w:t>vivaldybės tarybos 201</w:t>
      </w:r>
      <w:r w:rsidR="00892FDF">
        <w:rPr>
          <w:sz w:val="24"/>
          <w:szCs w:val="24"/>
          <w:lang w:val="lt-LT"/>
        </w:rPr>
        <w:t>9</w:t>
      </w:r>
      <w:r w:rsidR="00DE17C4" w:rsidRPr="00F076FF">
        <w:rPr>
          <w:sz w:val="24"/>
          <w:szCs w:val="24"/>
          <w:lang w:val="lt-LT"/>
        </w:rPr>
        <w:t xml:space="preserve"> m. kovo</w:t>
      </w:r>
      <w:r w:rsidRPr="00F076FF">
        <w:rPr>
          <w:sz w:val="24"/>
          <w:szCs w:val="24"/>
          <w:lang w:val="lt-LT"/>
        </w:rPr>
        <w:t xml:space="preserve"> 2</w:t>
      </w:r>
      <w:r w:rsidR="00892FDF">
        <w:rPr>
          <w:sz w:val="24"/>
          <w:szCs w:val="24"/>
          <w:lang w:val="lt-LT"/>
        </w:rPr>
        <w:t>9</w:t>
      </w:r>
      <w:r w:rsidR="00F834D6" w:rsidRPr="00F076FF">
        <w:rPr>
          <w:sz w:val="24"/>
          <w:szCs w:val="24"/>
          <w:lang w:val="lt-LT"/>
        </w:rPr>
        <w:t xml:space="preserve"> </w:t>
      </w:r>
      <w:r w:rsidRPr="00F076FF">
        <w:rPr>
          <w:sz w:val="24"/>
          <w:szCs w:val="24"/>
          <w:lang w:val="lt-LT"/>
        </w:rPr>
        <w:t>d. sprendimu Nr. TS-</w:t>
      </w:r>
      <w:r w:rsidR="00892FDF">
        <w:rPr>
          <w:sz w:val="24"/>
          <w:szCs w:val="24"/>
          <w:lang w:val="lt-LT"/>
        </w:rPr>
        <w:t>43</w:t>
      </w:r>
      <w:r w:rsidRPr="00F076FF">
        <w:rPr>
          <w:sz w:val="24"/>
          <w:szCs w:val="24"/>
          <w:lang w:val="lt-LT"/>
        </w:rPr>
        <w:t xml:space="preserve"> patvirtintame Rokiškio rajono savivaldybės tarybos veiklos r</w:t>
      </w:r>
      <w:r w:rsidR="00DE17C4" w:rsidRPr="00F076FF">
        <w:rPr>
          <w:sz w:val="24"/>
          <w:szCs w:val="24"/>
          <w:lang w:val="lt-LT"/>
        </w:rPr>
        <w:t xml:space="preserve">eglamente numatyta, </w:t>
      </w:r>
      <w:r w:rsidRPr="00F076FF">
        <w:rPr>
          <w:sz w:val="24"/>
          <w:szCs w:val="24"/>
          <w:lang w:val="lt-LT"/>
        </w:rPr>
        <w:t xml:space="preserve">kad savivaldybės taryba išklauso savivaldybės </w:t>
      </w:r>
      <w:r w:rsidR="0019651B" w:rsidRPr="00F076FF">
        <w:rPr>
          <w:bCs/>
          <w:sz w:val="24"/>
          <w:szCs w:val="24"/>
          <w:lang w:val="lt-LT"/>
        </w:rPr>
        <w:t>viešųjų įstaigų (kurių savininkė yra savivaldybė),</w:t>
      </w:r>
      <w:r w:rsidRPr="00F076FF">
        <w:rPr>
          <w:sz w:val="24"/>
          <w:szCs w:val="24"/>
          <w:lang w:val="lt-LT"/>
        </w:rPr>
        <w:t xml:space="preserve"> vadovų ataskaitas, vadovų atsakymus į tarybos narių paklausimus ir priima sprendimus dėl šių ataskaitų. </w:t>
      </w:r>
      <w:r w:rsidR="0019651B" w:rsidRPr="00F076FF">
        <w:rPr>
          <w:sz w:val="24"/>
          <w:szCs w:val="24"/>
          <w:lang w:val="lt-LT"/>
        </w:rPr>
        <w:t xml:space="preserve">Dėl to teikiama </w:t>
      </w:r>
      <w:r w:rsidR="004B5B87" w:rsidRPr="00F076FF">
        <w:rPr>
          <w:sz w:val="24"/>
          <w:szCs w:val="24"/>
          <w:lang w:val="lt-LT"/>
        </w:rPr>
        <w:t>tarybai viešosios įstaigos Juodupės komunalini</w:t>
      </w:r>
      <w:r w:rsidR="00DE17C4" w:rsidRPr="00F076FF">
        <w:rPr>
          <w:sz w:val="24"/>
          <w:szCs w:val="24"/>
          <w:lang w:val="lt-LT"/>
        </w:rPr>
        <w:t>o ūkio, kurios savininkė</w:t>
      </w:r>
      <w:r w:rsidR="004B5B87" w:rsidRPr="00F076FF">
        <w:rPr>
          <w:sz w:val="24"/>
          <w:szCs w:val="24"/>
          <w:lang w:val="lt-LT"/>
        </w:rPr>
        <w:t xml:space="preserve"> yra Rokiškio rajono savivaldybė,  direktoriaus 201</w:t>
      </w:r>
      <w:r w:rsidR="0019651B" w:rsidRPr="00F076FF">
        <w:rPr>
          <w:sz w:val="24"/>
          <w:szCs w:val="24"/>
          <w:lang w:val="lt-LT"/>
        </w:rPr>
        <w:t>8</w:t>
      </w:r>
      <w:r w:rsidR="004B5B87" w:rsidRPr="00F076FF">
        <w:rPr>
          <w:sz w:val="24"/>
          <w:szCs w:val="24"/>
          <w:lang w:val="lt-LT"/>
        </w:rPr>
        <w:t xml:space="preserve"> metų veiklos </w:t>
      </w:r>
      <w:r w:rsidR="00420B6E">
        <w:rPr>
          <w:sz w:val="24"/>
          <w:szCs w:val="24"/>
          <w:lang w:val="lt-LT"/>
        </w:rPr>
        <w:t xml:space="preserve">ataskaita Ataskaitoje pateikti </w:t>
      </w:r>
      <w:r w:rsidR="004B5B87" w:rsidRPr="00F076FF">
        <w:rPr>
          <w:sz w:val="24"/>
          <w:szCs w:val="24"/>
          <w:lang w:val="lt-LT"/>
        </w:rPr>
        <w:t xml:space="preserve">duomenys apie viešąją įstaigą, darbuotojus, jų darbo apmokėjimą, turtą, įstaigos ūkinę veiklą, finansinius rodiklius, įstaigos veiklos planai. </w:t>
      </w:r>
    </w:p>
    <w:p w14:paraId="3B63BEEF" w14:textId="77777777" w:rsidR="004A7A22" w:rsidRPr="00F076FF" w:rsidRDefault="004A7A22" w:rsidP="004B5B87">
      <w:pPr>
        <w:tabs>
          <w:tab w:val="left" w:pos="1134"/>
        </w:tabs>
        <w:jc w:val="both"/>
        <w:rPr>
          <w:b/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 xml:space="preserve">           </w:t>
      </w:r>
      <w:r w:rsidRPr="00F076FF">
        <w:rPr>
          <w:b/>
          <w:sz w:val="24"/>
          <w:szCs w:val="24"/>
          <w:lang w:val="lt-LT"/>
        </w:rPr>
        <w:t>Galimos pasekmės, priėmus siūlomą tarybos sprendimo projektą:</w:t>
      </w:r>
    </w:p>
    <w:p w14:paraId="3B63BEF0" w14:textId="1AA8C800" w:rsidR="004A7A22" w:rsidRPr="00F076FF" w:rsidRDefault="004A7A22" w:rsidP="004A7A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teigiamos</w:t>
      </w:r>
      <w:r w:rsidRPr="00F076FF">
        <w:rPr>
          <w:sz w:val="24"/>
          <w:szCs w:val="24"/>
          <w:lang w:val="lt-LT"/>
        </w:rPr>
        <w:t xml:space="preserve"> –  bus laikomasi teisės aktuose nustatytų nuostatų</w:t>
      </w:r>
      <w:r w:rsidR="005209C3" w:rsidRPr="00F076FF">
        <w:rPr>
          <w:sz w:val="24"/>
          <w:szCs w:val="24"/>
          <w:lang w:val="lt-LT"/>
        </w:rPr>
        <w:t>;</w:t>
      </w:r>
    </w:p>
    <w:p w14:paraId="3B63BEF1" w14:textId="77777777" w:rsidR="004A7A22" w:rsidRPr="00F076FF" w:rsidRDefault="004A7A22" w:rsidP="004A7A22">
      <w:pPr>
        <w:pStyle w:val="Antrats"/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neigiamos</w:t>
      </w:r>
      <w:r w:rsidRPr="00F076FF">
        <w:rPr>
          <w:sz w:val="24"/>
          <w:szCs w:val="24"/>
          <w:lang w:val="lt-LT"/>
        </w:rPr>
        <w:t xml:space="preserve"> – nebus. </w:t>
      </w:r>
    </w:p>
    <w:p w14:paraId="3B63BEF3" w14:textId="74B13292" w:rsidR="009C21B6" w:rsidRPr="00F076FF" w:rsidRDefault="005F2581" w:rsidP="005209C3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F076FF">
        <w:rPr>
          <w:b/>
          <w:sz w:val="24"/>
          <w:szCs w:val="24"/>
          <w:lang w:val="lt-LT"/>
        </w:rPr>
        <w:t>S</w:t>
      </w:r>
      <w:r w:rsidR="004A7A22" w:rsidRPr="00F076FF">
        <w:rPr>
          <w:b/>
          <w:sz w:val="24"/>
          <w:szCs w:val="24"/>
          <w:lang w:val="lt-LT"/>
        </w:rPr>
        <w:t>prendimo nauda Rokiškio rajono gyventojams.</w:t>
      </w:r>
      <w:r w:rsidR="005209C3" w:rsidRPr="00F076FF">
        <w:rPr>
          <w:b/>
          <w:sz w:val="24"/>
          <w:szCs w:val="24"/>
          <w:lang w:val="lt-LT"/>
        </w:rPr>
        <w:t xml:space="preserve"> </w:t>
      </w:r>
      <w:r w:rsidR="009C21B6" w:rsidRPr="00F076FF">
        <w:rPr>
          <w:sz w:val="24"/>
          <w:szCs w:val="24"/>
          <w:lang w:val="lt-LT"/>
        </w:rPr>
        <w:t xml:space="preserve">Direktoriaus ataskaita yra vieša ir Rokiškio rajono savivaldybės gyventojai gali išsamiai susipažinti su įstaigos veikla, teikiamomis paslaugomis ir teikti pasiūlymus, pageidavimus. </w:t>
      </w:r>
    </w:p>
    <w:p w14:paraId="3B63BEF5" w14:textId="622F66E8" w:rsidR="004A7A22" w:rsidRPr="00F076FF" w:rsidRDefault="004A7A22" w:rsidP="005209C3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lt-LT"/>
        </w:rPr>
      </w:pPr>
      <w:r w:rsidRPr="00F076FF">
        <w:rPr>
          <w:b/>
          <w:bCs/>
          <w:sz w:val="24"/>
          <w:szCs w:val="24"/>
          <w:lang w:val="lt-LT"/>
        </w:rPr>
        <w:t>Finansavimo šaltiniai ir lėšų poreikis</w:t>
      </w:r>
      <w:r w:rsidRPr="00F076FF">
        <w:rPr>
          <w:sz w:val="24"/>
          <w:szCs w:val="24"/>
          <w:lang w:val="lt-LT"/>
        </w:rPr>
        <w:t>.</w:t>
      </w:r>
      <w:r w:rsidR="005209C3" w:rsidRPr="00F076FF">
        <w:rPr>
          <w:sz w:val="24"/>
          <w:szCs w:val="24"/>
          <w:lang w:val="lt-LT"/>
        </w:rPr>
        <w:t xml:space="preserve"> </w:t>
      </w:r>
      <w:r w:rsidRPr="00F076FF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3B63BEF7" w14:textId="41281B74" w:rsidR="004A7A22" w:rsidRPr="00F076FF" w:rsidRDefault="004A7A22" w:rsidP="004A7A22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F076FF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5209C3" w:rsidRPr="00F076FF">
        <w:rPr>
          <w:color w:val="000000"/>
          <w:sz w:val="24"/>
          <w:szCs w:val="24"/>
          <w:lang w:val="lt-LT"/>
        </w:rPr>
        <w:t xml:space="preserve"> </w:t>
      </w:r>
      <w:r w:rsidRPr="00F076FF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B63BEF9" w14:textId="398EFA60" w:rsidR="004A7A22" w:rsidRPr="00F076FF" w:rsidRDefault="004A7A22" w:rsidP="004A7A22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 xml:space="preserve">           </w:t>
      </w:r>
      <w:r w:rsidRPr="00F076FF">
        <w:rPr>
          <w:b/>
          <w:sz w:val="24"/>
          <w:szCs w:val="24"/>
          <w:lang w:val="lt-LT"/>
        </w:rPr>
        <w:t>Antikorupcinis vertinimas</w:t>
      </w:r>
      <w:r w:rsidRPr="00F076FF">
        <w:rPr>
          <w:sz w:val="24"/>
          <w:szCs w:val="24"/>
          <w:lang w:val="lt-LT"/>
        </w:rPr>
        <w:t>.</w:t>
      </w:r>
      <w:r w:rsidR="005209C3" w:rsidRPr="00F076FF">
        <w:rPr>
          <w:sz w:val="24"/>
          <w:szCs w:val="24"/>
          <w:lang w:val="lt-LT"/>
        </w:rPr>
        <w:t xml:space="preserve"> </w:t>
      </w:r>
      <w:r w:rsidRPr="00F076FF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5209C3" w:rsidRPr="00F076FF">
        <w:rPr>
          <w:sz w:val="24"/>
          <w:szCs w:val="24"/>
          <w:lang w:val="lt-LT"/>
        </w:rPr>
        <w:t>k</w:t>
      </w:r>
      <w:r w:rsidRPr="00F076FF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B63BEFA" w14:textId="77777777" w:rsidR="004A7A22" w:rsidRPr="00F076FF" w:rsidRDefault="004A7A22" w:rsidP="004A7A22">
      <w:pPr>
        <w:jc w:val="both"/>
        <w:rPr>
          <w:sz w:val="24"/>
          <w:szCs w:val="24"/>
          <w:lang w:val="lt-LT"/>
        </w:rPr>
      </w:pPr>
    </w:p>
    <w:p w14:paraId="3B63BEFB" w14:textId="77777777" w:rsidR="004A7A22" w:rsidRPr="00F076FF" w:rsidRDefault="004A7A22" w:rsidP="00932F6C">
      <w:pPr>
        <w:jc w:val="both"/>
        <w:rPr>
          <w:sz w:val="24"/>
          <w:szCs w:val="24"/>
          <w:lang w:val="lt-LT"/>
        </w:rPr>
      </w:pPr>
    </w:p>
    <w:p w14:paraId="3B63BEFC" w14:textId="77777777" w:rsidR="00A36941" w:rsidRPr="00F076FF" w:rsidRDefault="0019651B" w:rsidP="0019651B">
      <w:pPr>
        <w:jc w:val="both"/>
        <w:rPr>
          <w:sz w:val="24"/>
          <w:szCs w:val="24"/>
          <w:lang w:val="lt-LT"/>
        </w:rPr>
      </w:pPr>
      <w:r w:rsidRPr="00F076FF">
        <w:rPr>
          <w:sz w:val="24"/>
          <w:szCs w:val="24"/>
          <w:lang w:val="lt-LT"/>
        </w:rPr>
        <w:t>Turto valdymo ir ūkio skyriaus vedėjo pavaduotoja</w:t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</w:r>
      <w:r w:rsidRPr="00F076FF">
        <w:rPr>
          <w:sz w:val="24"/>
          <w:szCs w:val="24"/>
          <w:lang w:val="lt-LT"/>
        </w:rPr>
        <w:tab/>
        <w:t>Violeta Bieliūnaitė-Vanagienė</w:t>
      </w:r>
    </w:p>
    <w:sectPr w:rsidR="00A36941" w:rsidRPr="00F076FF" w:rsidSect="004C633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BEFF" w14:textId="77777777" w:rsidR="00EC75DA" w:rsidRDefault="00EC75DA">
      <w:r>
        <w:separator/>
      </w:r>
    </w:p>
  </w:endnote>
  <w:endnote w:type="continuationSeparator" w:id="0">
    <w:p w14:paraId="3B63BF00" w14:textId="77777777" w:rsidR="00EC75DA" w:rsidRDefault="00EC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BEFD" w14:textId="77777777" w:rsidR="00EC75DA" w:rsidRDefault="00EC75DA">
      <w:r>
        <w:separator/>
      </w:r>
    </w:p>
  </w:footnote>
  <w:footnote w:type="continuationSeparator" w:id="0">
    <w:p w14:paraId="3B63BEFE" w14:textId="77777777" w:rsidR="00EC75DA" w:rsidRDefault="00EC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F01" w14:textId="55A6274C" w:rsidR="00EB1BFB" w:rsidRDefault="004C6335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B63BF09" wp14:editId="67482451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3BF02" w14:textId="77777777" w:rsidR="00EB1BFB" w:rsidRPr="00D52072" w:rsidRDefault="00EB1BFB" w:rsidP="00EB1BFB">
    <w:pPr>
      <w:rPr>
        <w:b/>
        <w:sz w:val="24"/>
        <w:szCs w:val="24"/>
      </w:rPr>
    </w:pPr>
  </w:p>
  <w:p w14:paraId="3B63BF03" w14:textId="77777777" w:rsidR="00EB1BFB" w:rsidRPr="00541C20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541C20">
      <w:rPr>
        <w:sz w:val="24"/>
        <w:szCs w:val="24"/>
        <w:lang w:val="lt-LT"/>
      </w:rPr>
      <w:t>Projektas</w:t>
    </w:r>
  </w:p>
  <w:p w14:paraId="3B63BF04" w14:textId="77777777" w:rsidR="00EB1BFB" w:rsidRDefault="00EB1BFB" w:rsidP="00EB1BFB"/>
  <w:p w14:paraId="3B63BF0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B63BF06" w14:textId="77777777" w:rsidR="00EB1BFB" w:rsidRPr="004C6335" w:rsidRDefault="00EB1BFB" w:rsidP="00EB1BFB">
    <w:pPr>
      <w:rPr>
        <w:rFonts w:ascii="TimesLT" w:hAnsi="TimesLT"/>
        <w:b/>
        <w:sz w:val="18"/>
      </w:rPr>
    </w:pPr>
  </w:p>
  <w:p w14:paraId="3B63BF0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B63BF0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36CA22C8"/>
    <w:multiLevelType w:val="hybridMultilevel"/>
    <w:tmpl w:val="E31C61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84AC4"/>
    <w:multiLevelType w:val="hybridMultilevel"/>
    <w:tmpl w:val="E774EF7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2CC"/>
    <w:rsid w:val="000213B8"/>
    <w:rsid w:val="00025149"/>
    <w:rsid w:val="00030728"/>
    <w:rsid w:val="00040B68"/>
    <w:rsid w:val="00065EDC"/>
    <w:rsid w:val="00075B45"/>
    <w:rsid w:val="000762C8"/>
    <w:rsid w:val="00080F89"/>
    <w:rsid w:val="00085048"/>
    <w:rsid w:val="000B1CE9"/>
    <w:rsid w:val="000C20E5"/>
    <w:rsid w:val="000D3154"/>
    <w:rsid w:val="000D5DBA"/>
    <w:rsid w:val="000E178E"/>
    <w:rsid w:val="0010197B"/>
    <w:rsid w:val="001059F4"/>
    <w:rsid w:val="00113C20"/>
    <w:rsid w:val="00185C41"/>
    <w:rsid w:val="00187088"/>
    <w:rsid w:val="00193420"/>
    <w:rsid w:val="0019651B"/>
    <w:rsid w:val="001A6983"/>
    <w:rsid w:val="001B6A74"/>
    <w:rsid w:val="001C2970"/>
    <w:rsid w:val="001C358C"/>
    <w:rsid w:val="001E755B"/>
    <w:rsid w:val="00221EFC"/>
    <w:rsid w:val="002318C5"/>
    <w:rsid w:val="0023787D"/>
    <w:rsid w:val="00280C26"/>
    <w:rsid w:val="002D3B35"/>
    <w:rsid w:val="002F3C6B"/>
    <w:rsid w:val="00352BBA"/>
    <w:rsid w:val="00390C0C"/>
    <w:rsid w:val="003A2F5A"/>
    <w:rsid w:val="003B47CA"/>
    <w:rsid w:val="003C1C25"/>
    <w:rsid w:val="003C1EF1"/>
    <w:rsid w:val="003C3613"/>
    <w:rsid w:val="003F2368"/>
    <w:rsid w:val="00404748"/>
    <w:rsid w:val="00404F3E"/>
    <w:rsid w:val="00420B6E"/>
    <w:rsid w:val="00425121"/>
    <w:rsid w:val="00441928"/>
    <w:rsid w:val="00454130"/>
    <w:rsid w:val="0045675C"/>
    <w:rsid w:val="00465378"/>
    <w:rsid w:val="004855CF"/>
    <w:rsid w:val="00491737"/>
    <w:rsid w:val="004A7A22"/>
    <w:rsid w:val="004B5B87"/>
    <w:rsid w:val="004C6335"/>
    <w:rsid w:val="005209C3"/>
    <w:rsid w:val="005307EE"/>
    <w:rsid w:val="00531F8B"/>
    <w:rsid w:val="0053512E"/>
    <w:rsid w:val="005373CB"/>
    <w:rsid w:val="00541C20"/>
    <w:rsid w:val="0056320B"/>
    <w:rsid w:val="00563489"/>
    <w:rsid w:val="00565D94"/>
    <w:rsid w:val="00566CC0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0685D"/>
    <w:rsid w:val="006423E2"/>
    <w:rsid w:val="00650B14"/>
    <w:rsid w:val="0067194A"/>
    <w:rsid w:val="00683B78"/>
    <w:rsid w:val="00690A51"/>
    <w:rsid w:val="006A760B"/>
    <w:rsid w:val="006D7030"/>
    <w:rsid w:val="00771E1A"/>
    <w:rsid w:val="00787C2F"/>
    <w:rsid w:val="0079214A"/>
    <w:rsid w:val="007D28B4"/>
    <w:rsid w:val="007F560F"/>
    <w:rsid w:val="00815090"/>
    <w:rsid w:val="00834271"/>
    <w:rsid w:val="00841780"/>
    <w:rsid w:val="00853BB1"/>
    <w:rsid w:val="00855FC2"/>
    <w:rsid w:val="00880525"/>
    <w:rsid w:val="00892FDF"/>
    <w:rsid w:val="00895C28"/>
    <w:rsid w:val="008C4B7E"/>
    <w:rsid w:val="008D23EC"/>
    <w:rsid w:val="008E7F5B"/>
    <w:rsid w:val="008F5059"/>
    <w:rsid w:val="008F5C91"/>
    <w:rsid w:val="008F6439"/>
    <w:rsid w:val="00904423"/>
    <w:rsid w:val="00917406"/>
    <w:rsid w:val="00932F6C"/>
    <w:rsid w:val="00933003"/>
    <w:rsid w:val="009330E9"/>
    <w:rsid w:val="009339A7"/>
    <w:rsid w:val="00951728"/>
    <w:rsid w:val="00965CF0"/>
    <w:rsid w:val="009721EE"/>
    <w:rsid w:val="00991587"/>
    <w:rsid w:val="009B6495"/>
    <w:rsid w:val="009C1F16"/>
    <w:rsid w:val="009C21B6"/>
    <w:rsid w:val="009C5CB6"/>
    <w:rsid w:val="00A3518E"/>
    <w:rsid w:val="00A36941"/>
    <w:rsid w:val="00A77246"/>
    <w:rsid w:val="00A83D1A"/>
    <w:rsid w:val="00AC6EFA"/>
    <w:rsid w:val="00B21FA0"/>
    <w:rsid w:val="00B3094B"/>
    <w:rsid w:val="00B45626"/>
    <w:rsid w:val="00B52CC9"/>
    <w:rsid w:val="00B62BAC"/>
    <w:rsid w:val="00B62D5A"/>
    <w:rsid w:val="00B804BD"/>
    <w:rsid w:val="00BD5C96"/>
    <w:rsid w:val="00BE4861"/>
    <w:rsid w:val="00BE6371"/>
    <w:rsid w:val="00BF1AC1"/>
    <w:rsid w:val="00BF1C9E"/>
    <w:rsid w:val="00BF44FA"/>
    <w:rsid w:val="00C11020"/>
    <w:rsid w:val="00C13BB0"/>
    <w:rsid w:val="00C31423"/>
    <w:rsid w:val="00C402F6"/>
    <w:rsid w:val="00C62E82"/>
    <w:rsid w:val="00CA536C"/>
    <w:rsid w:val="00CB2F2A"/>
    <w:rsid w:val="00CC238F"/>
    <w:rsid w:val="00CC4D7F"/>
    <w:rsid w:val="00CC5051"/>
    <w:rsid w:val="00D05416"/>
    <w:rsid w:val="00D2048B"/>
    <w:rsid w:val="00D24487"/>
    <w:rsid w:val="00D52072"/>
    <w:rsid w:val="00D60691"/>
    <w:rsid w:val="00D7633A"/>
    <w:rsid w:val="00D85BE6"/>
    <w:rsid w:val="00D9657E"/>
    <w:rsid w:val="00DC6CC4"/>
    <w:rsid w:val="00DD14A1"/>
    <w:rsid w:val="00DE17C4"/>
    <w:rsid w:val="00DE738F"/>
    <w:rsid w:val="00DE78DB"/>
    <w:rsid w:val="00E00583"/>
    <w:rsid w:val="00E220A3"/>
    <w:rsid w:val="00E750C3"/>
    <w:rsid w:val="00EB1BFB"/>
    <w:rsid w:val="00EB2A84"/>
    <w:rsid w:val="00EC6931"/>
    <w:rsid w:val="00EC75DA"/>
    <w:rsid w:val="00EF4EB8"/>
    <w:rsid w:val="00F0443E"/>
    <w:rsid w:val="00F054DE"/>
    <w:rsid w:val="00F076FF"/>
    <w:rsid w:val="00F20623"/>
    <w:rsid w:val="00F40BC0"/>
    <w:rsid w:val="00F42D5C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3B63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99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19651B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99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19651B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6FE-9FAC-4B1A-915A-9574A22B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2017-12-13T10:19:00Z</cp:lastPrinted>
  <dcterms:created xsi:type="dcterms:W3CDTF">2019-04-17T06:51:00Z</dcterms:created>
  <dcterms:modified xsi:type="dcterms:W3CDTF">2019-04-17T06:51:00Z</dcterms:modified>
</cp:coreProperties>
</file>